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DEC" w:rsidRDefault="009D0DEC" w:rsidP="009D0DEC">
      <w:bookmarkStart w:id="0" w:name="_GoBack"/>
      <w:bookmarkEnd w:id="0"/>
      <w:r>
        <w:rPr>
          <w:noProof/>
          <w:lang w:eastAsia="en-GB"/>
        </w:rPr>
        <w:drawing>
          <wp:inline distT="0" distB="0" distL="0" distR="0" wp14:anchorId="396335B6" wp14:editId="2E106155">
            <wp:extent cx="3488400" cy="612000"/>
            <wp:effectExtent l="0" t="0" r="0" b="0"/>
            <wp:docPr id="5" name="Picture 5"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9D0DEC" w:rsidRDefault="009D0DEC" w:rsidP="009D0DEC"/>
    <w:p w:rsidR="009D0DEC" w:rsidRPr="005B7A73" w:rsidRDefault="009D0DEC" w:rsidP="009D0DEC">
      <w:pPr>
        <w:pStyle w:val="FSTitle"/>
        <w:rPr>
          <w:b/>
        </w:rPr>
      </w:pPr>
      <w:r w:rsidRPr="005B7A73">
        <w:rPr>
          <w:b/>
        </w:rPr>
        <w:t xml:space="preserve">Supporting document </w:t>
      </w:r>
      <w:r w:rsidRPr="009D0DEC">
        <w:rPr>
          <w:b/>
        </w:rPr>
        <w:t>1</w:t>
      </w:r>
    </w:p>
    <w:p w:rsidR="009D0DEC" w:rsidRDefault="009D0DEC" w:rsidP="009D0DEC"/>
    <w:p w:rsidR="009D0DEC" w:rsidRPr="00855930" w:rsidRDefault="009D0DEC" w:rsidP="008B4114">
      <w:pPr>
        <w:pStyle w:val="FSTitle"/>
        <w:rPr>
          <w:b/>
        </w:rPr>
      </w:pPr>
      <w:r w:rsidRPr="009D0DEC">
        <w:t xml:space="preserve">Guidance on </w:t>
      </w:r>
      <w:r w:rsidR="00DD310A">
        <w:t xml:space="preserve">the application of </w:t>
      </w:r>
      <w:r w:rsidRPr="009D0DEC">
        <w:t xml:space="preserve">microbiological criteria for </w:t>
      </w:r>
      <w:r w:rsidRPr="009D0DEC">
        <w:rPr>
          <w:i/>
        </w:rPr>
        <w:t>Listeria monocytogenes</w:t>
      </w:r>
      <w:r w:rsidRPr="009D0DEC">
        <w:t xml:space="preserve"> in RTE </w:t>
      </w:r>
      <w:r w:rsidR="008B4114">
        <w:t>food</w:t>
      </w:r>
      <w:r w:rsidR="007D7BD1">
        <w:t xml:space="preserve"> (at Approval)</w:t>
      </w:r>
    </w:p>
    <w:p w:rsidR="009D0DEC" w:rsidRPr="00B37BF0" w:rsidRDefault="009D0DEC" w:rsidP="009D0DEC">
      <w:pPr>
        <w:pBdr>
          <w:bottom w:val="single" w:sz="12" w:space="1" w:color="auto"/>
        </w:pBdr>
        <w:spacing w:line="280" w:lineRule="exact"/>
        <w:rPr>
          <w:rFonts w:cs="Arial"/>
          <w:bCs/>
        </w:rPr>
      </w:pPr>
    </w:p>
    <w:p w:rsidR="009D0DEC" w:rsidRPr="00B37BF0" w:rsidRDefault="009D0DEC" w:rsidP="009D0DEC"/>
    <w:p w:rsidR="00AE5639" w:rsidRDefault="009D0DEC">
      <w:pPr>
        <w:spacing w:after="200" w:line="276" w:lineRule="auto"/>
      </w:pPr>
      <w:r>
        <w:br w:type="page"/>
      </w:r>
    </w:p>
    <w:p w:rsidR="009B40EC" w:rsidRPr="00241F99" w:rsidRDefault="009B40EC" w:rsidP="009B40EC">
      <w:pPr>
        <w:keepNext/>
        <w:tabs>
          <w:tab w:val="left" w:pos="851"/>
        </w:tabs>
        <w:spacing w:after="240"/>
        <w:outlineLvl w:val="0"/>
        <w:rPr>
          <w:rFonts w:eastAsia="Times New Roman" w:cs="Arial"/>
          <w:b/>
          <w:bCs/>
          <w:noProof/>
          <w:sz w:val="36"/>
          <w:szCs w:val="28"/>
          <w:lang w:val="en-AU"/>
        </w:rPr>
      </w:pPr>
      <w:bookmarkStart w:id="1" w:name="_Toc319073978"/>
      <w:r w:rsidRPr="00241F99">
        <w:rPr>
          <w:rFonts w:eastAsia="Times New Roman" w:cs="Arial"/>
          <w:b/>
          <w:bCs/>
          <w:sz w:val="36"/>
          <w:szCs w:val="28"/>
          <w:lang w:val="en-AU"/>
        </w:rPr>
        <w:lastRenderedPageBreak/>
        <w:t>Background</w:t>
      </w:r>
      <w:bookmarkEnd w:id="1"/>
    </w:p>
    <w:p w:rsidR="009B40EC" w:rsidRPr="00241F99" w:rsidRDefault="009B40EC" w:rsidP="009B40EC">
      <w:pPr>
        <w:rPr>
          <w:rFonts w:eastAsia="Times New Roman" w:cs="Times New Roman"/>
          <w:b/>
          <w:szCs w:val="24"/>
          <w:lang w:val="en-AU"/>
        </w:rPr>
      </w:pPr>
      <w:r w:rsidRPr="00241F99">
        <w:rPr>
          <w:rFonts w:eastAsia="Times New Roman" w:cs="Times New Roman"/>
          <w:b/>
          <w:szCs w:val="24"/>
          <w:lang w:val="en-AU"/>
        </w:rPr>
        <w:t>Food Standards in Australia and New Zealand</w:t>
      </w:r>
    </w:p>
    <w:p w:rsidR="009B40EC" w:rsidRPr="00241F99" w:rsidRDefault="009B40EC" w:rsidP="009B40EC">
      <w:pPr>
        <w:rPr>
          <w:rFonts w:ascii="Garamond" w:eastAsia="Times New Roman" w:hAnsi="Garamond" w:cs="Times New Roman"/>
          <w:b/>
          <w:szCs w:val="24"/>
          <w:lang w:val="en-AU"/>
        </w:rPr>
      </w:pPr>
    </w:p>
    <w:p w:rsidR="009B40EC" w:rsidRPr="00241F99" w:rsidRDefault="009B40EC" w:rsidP="009B40EC">
      <w:pPr>
        <w:tabs>
          <w:tab w:val="left" w:pos="851"/>
        </w:tabs>
        <w:rPr>
          <w:rFonts w:eastAsia="Times New Roman" w:cs="Arial"/>
          <w:lang w:val="en-AU"/>
        </w:rPr>
      </w:pPr>
      <w:r w:rsidRPr="00241F99">
        <w:rPr>
          <w:rFonts w:eastAsia="Times New Roman" w:cs="Arial"/>
          <w:lang w:val="en-AU"/>
        </w:rPr>
        <w:t xml:space="preserve">The Australian and New Zealand food standards system is governed by legislation in the states, territories, New Zealand, and the Commonwealth of Australia; including the </w:t>
      </w:r>
      <w:r w:rsidRPr="00241F99">
        <w:rPr>
          <w:rFonts w:eastAsia="Times New Roman" w:cs="Arial"/>
          <w:i/>
          <w:lang w:val="en-AU"/>
        </w:rPr>
        <w:t xml:space="preserve">Food Standards Australia New Zealand Act 1991 </w:t>
      </w:r>
      <w:r w:rsidRPr="00241F99">
        <w:rPr>
          <w:rFonts w:eastAsia="Times New Roman" w:cs="Arial"/>
          <w:lang w:val="en-AU"/>
        </w:rPr>
        <w:t>(the FSANZ Act).</w:t>
      </w:r>
    </w:p>
    <w:p w:rsidR="009B40EC" w:rsidRPr="00241F99" w:rsidRDefault="009B40EC" w:rsidP="009B40EC">
      <w:pPr>
        <w:tabs>
          <w:tab w:val="left" w:pos="851"/>
        </w:tabs>
        <w:rPr>
          <w:rFonts w:eastAsia="Times New Roman" w:cs="Arial"/>
          <w:lang w:val="en-AU"/>
        </w:rPr>
      </w:pPr>
    </w:p>
    <w:p w:rsidR="009B40EC" w:rsidRPr="00241F99" w:rsidRDefault="009B40EC" w:rsidP="009B40EC">
      <w:pPr>
        <w:tabs>
          <w:tab w:val="left" w:pos="851"/>
        </w:tabs>
        <w:rPr>
          <w:rFonts w:eastAsia="Times New Roman" w:cs="Arial"/>
          <w:lang w:val="en-AU"/>
        </w:rPr>
      </w:pPr>
      <w:r w:rsidRPr="00241F99">
        <w:rPr>
          <w:rFonts w:eastAsia="Times New Roman" w:cs="Arial"/>
          <w:lang w:val="en-AU"/>
        </w:rPr>
        <w:t xml:space="preserve">The FSANZ Act sets out how food regulatory measures are developed. It created FSANZ as the agency responsible for developing and maintaining the </w:t>
      </w:r>
      <w:r w:rsidRPr="00241F99">
        <w:rPr>
          <w:rFonts w:eastAsia="Times New Roman" w:cs="Arial"/>
          <w:i/>
          <w:lang w:val="en-AU"/>
        </w:rPr>
        <w:t xml:space="preserve">Australia New Zealand Food Standards Code </w:t>
      </w:r>
      <w:r w:rsidRPr="00241F99">
        <w:rPr>
          <w:rFonts w:eastAsia="Times New Roman" w:cs="Arial"/>
          <w:lang w:val="en-AU"/>
        </w:rPr>
        <w:t>(the Code).</w:t>
      </w:r>
    </w:p>
    <w:p w:rsidR="009B40EC" w:rsidRPr="00241F99" w:rsidRDefault="009B40EC" w:rsidP="009B40EC">
      <w:pPr>
        <w:tabs>
          <w:tab w:val="left" w:pos="851"/>
        </w:tabs>
        <w:rPr>
          <w:rFonts w:eastAsia="Times New Roman" w:cs="Arial"/>
          <w:lang w:val="en-AU"/>
        </w:rPr>
      </w:pPr>
    </w:p>
    <w:p w:rsidR="009B40EC" w:rsidRPr="00241F99" w:rsidRDefault="009B40EC" w:rsidP="009B40EC">
      <w:pPr>
        <w:tabs>
          <w:tab w:val="left" w:pos="851"/>
        </w:tabs>
        <w:rPr>
          <w:rFonts w:eastAsia="Times New Roman" w:cs="Arial"/>
          <w:lang w:val="en-AU"/>
        </w:rPr>
      </w:pPr>
      <w:r w:rsidRPr="00241F99">
        <w:rPr>
          <w:rFonts w:eastAsia="Times New Roman" w:cs="Arial"/>
          <w:lang w:val="en-AU"/>
        </w:rPr>
        <w:t>Responsibility for enforcing the Code in Australia rests with authorities in the states and territories and the Commonwealth Department of Agriculture for imported food; and with the Ministry for Primary Industries in New Zealand.</w:t>
      </w:r>
    </w:p>
    <w:p w:rsidR="009B40EC" w:rsidRPr="00241F99" w:rsidRDefault="009B40EC" w:rsidP="009B40EC">
      <w:pPr>
        <w:tabs>
          <w:tab w:val="left" w:pos="851"/>
        </w:tabs>
        <w:rPr>
          <w:rFonts w:eastAsia="Times New Roman" w:cs="Arial"/>
          <w:szCs w:val="24"/>
          <w:lang w:val="en-AU"/>
        </w:rPr>
      </w:pPr>
    </w:p>
    <w:p w:rsidR="009B40EC" w:rsidRPr="00241F99" w:rsidRDefault="009B40EC" w:rsidP="009B40EC">
      <w:pPr>
        <w:rPr>
          <w:rFonts w:eastAsia="Times New Roman" w:cs="Arial"/>
          <w:b/>
          <w:szCs w:val="24"/>
          <w:lang w:val="en-AU"/>
        </w:rPr>
      </w:pPr>
      <w:r w:rsidRPr="00241F99">
        <w:rPr>
          <w:rFonts w:eastAsia="Times New Roman" w:cs="Arial"/>
          <w:b/>
          <w:szCs w:val="24"/>
          <w:lang w:val="en-AU"/>
        </w:rPr>
        <w:t>Responsibility of food businesses</w:t>
      </w:r>
    </w:p>
    <w:p w:rsidR="009B40EC" w:rsidRPr="009B40EC" w:rsidRDefault="009B40EC" w:rsidP="009B40EC">
      <w:pPr>
        <w:rPr>
          <w:rFonts w:ascii="Garamond" w:eastAsia="Times New Roman" w:hAnsi="Garamond" w:cs="Times New Roman"/>
          <w:szCs w:val="24"/>
          <w:lang w:val="en-AU"/>
        </w:rPr>
      </w:pPr>
    </w:p>
    <w:p w:rsidR="009B40EC" w:rsidRPr="009B40EC" w:rsidRDefault="009B40EC" w:rsidP="009B40EC">
      <w:pPr>
        <w:rPr>
          <w:rFonts w:eastAsia="Times New Roman" w:cs="Arial"/>
          <w:lang w:val="en-AU"/>
        </w:rPr>
      </w:pPr>
      <w:r w:rsidRPr="009B40EC">
        <w:rPr>
          <w:rFonts w:eastAsia="Times New Roman" w:cs="Arial"/>
          <w:lang w:val="en-AU"/>
        </w:rPr>
        <w:t xml:space="preserve">This </w:t>
      </w:r>
      <w:r w:rsidR="006F1A96">
        <w:rPr>
          <w:rFonts w:eastAsia="Times New Roman" w:cs="Arial"/>
          <w:bCs/>
          <w:lang w:val="en-AU"/>
        </w:rPr>
        <w:t>Guidance document</w:t>
      </w:r>
      <w:r w:rsidR="006F1A96" w:rsidRPr="009B40EC">
        <w:rPr>
          <w:rFonts w:eastAsia="Times New Roman" w:cs="Arial"/>
          <w:lang w:val="en-AU"/>
        </w:rPr>
        <w:t xml:space="preserve"> </w:t>
      </w:r>
      <w:r w:rsidRPr="009B40EC">
        <w:rPr>
          <w:rFonts w:eastAsia="Times New Roman" w:cs="Arial"/>
          <w:lang w:val="en-AU"/>
        </w:rPr>
        <w:t>is not a legally binding document. It is designed to help interested parties understand provisions in the Code.</w:t>
      </w:r>
    </w:p>
    <w:p w:rsidR="009B40EC" w:rsidRPr="009B40EC" w:rsidRDefault="009B40EC" w:rsidP="009B40EC">
      <w:pPr>
        <w:rPr>
          <w:rFonts w:eastAsia="Times New Roman" w:cs="Arial"/>
          <w:lang w:val="en-AU"/>
        </w:rPr>
      </w:pPr>
    </w:p>
    <w:p w:rsidR="009B40EC" w:rsidRPr="009B40EC" w:rsidRDefault="009B40EC" w:rsidP="009B40EC">
      <w:pPr>
        <w:rPr>
          <w:rFonts w:eastAsia="Times New Roman" w:cs="Arial"/>
          <w:szCs w:val="24"/>
          <w:lang w:val="en-AU"/>
        </w:rPr>
      </w:pPr>
      <w:r w:rsidRPr="009B40EC">
        <w:rPr>
          <w:rFonts w:eastAsia="Times New Roman" w:cs="Arial"/>
          <w:szCs w:val="24"/>
          <w:lang w:val="en-AU"/>
        </w:rPr>
        <w:t xml:space="preserve">This </w:t>
      </w:r>
      <w:r w:rsidR="006F1A96">
        <w:rPr>
          <w:rFonts w:eastAsia="Times New Roman" w:cs="Arial"/>
          <w:bCs/>
          <w:lang w:val="en-AU"/>
        </w:rPr>
        <w:t>Guidance document</w:t>
      </w:r>
      <w:r w:rsidR="006F1A96" w:rsidRPr="009B40EC">
        <w:rPr>
          <w:rFonts w:eastAsia="Times New Roman" w:cs="Arial"/>
          <w:szCs w:val="24"/>
          <w:lang w:val="en-AU"/>
        </w:rPr>
        <w:t xml:space="preserve"> </w:t>
      </w:r>
      <w:r w:rsidRPr="009B40EC">
        <w:rPr>
          <w:rFonts w:eastAsia="Times New Roman" w:cs="Arial"/>
          <w:szCs w:val="24"/>
          <w:lang w:val="en-AU"/>
        </w:rPr>
        <w:t xml:space="preserve">reflects the views of FSANZ. However, the </w:t>
      </w:r>
      <w:r w:rsidR="003F1085">
        <w:rPr>
          <w:rFonts w:eastAsia="Times New Roman" w:cs="Arial"/>
          <w:bCs/>
          <w:lang w:val="en-AU"/>
        </w:rPr>
        <w:t>Guidance document</w:t>
      </w:r>
      <w:r w:rsidR="003F1085" w:rsidRPr="009B40EC">
        <w:rPr>
          <w:rFonts w:eastAsia="Times New Roman" w:cs="Arial"/>
          <w:szCs w:val="24"/>
          <w:lang w:val="en-AU"/>
        </w:rPr>
        <w:t xml:space="preserve"> </w:t>
      </w:r>
      <w:r w:rsidRPr="009B40EC">
        <w:rPr>
          <w:rFonts w:eastAsia="Times New Roman" w:cs="Arial"/>
          <w:szCs w:val="24"/>
          <w:lang w:val="en-AU"/>
        </w:rPr>
        <w:t xml:space="preserve">cannot be relied upon as stating the law. FSANZ is not responsible for enforcement of the Code or for </w:t>
      </w:r>
      <w:r w:rsidRPr="009B40EC">
        <w:rPr>
          <w:rFonts w:eastAsia="Times New Roman" w:cs="Arial"/>
          <w:szCs w:val="24"/>
          <w:lang w:val="en-US"/>
        </w:rPr>
        <w:t>providing advice on food compliance issues</w:t>
      </w:r>
      <w:r w:rsidRPr="009B40EC">
        <w:rPr>
          <w:rFonts w:eastAsia="Times New Roman" w:cs="Arial"/>
          <w:szCs w:val="24"/>
          <w:lang w:val="en-AU"/>
        </w:rPr>
        <w:t xml:space="preserve">. </w:t>
      </w:r>
      <w:r w:rsidRPr="009B40EC">
        <w:rPr>
          <w:rFonts w:eastAsia="Times New Roman" w:cs="Arial"/>
          <w:szCs w:val="24"/>
          <w:lang w:val="en-US"/>
        </w:rPr>
        <w:t>In Australia, state or territory government agencies are responsible for enforcing and interpreting the Code. In New Zealand</w:t>
      </w:r>
      <w:r w:rsidR="00D47C74">
        <w:rPr>
          <w:rFonts w:eastAsia="Times New Roman" w:cs="Arial"/>
          <w:szCs w:val="24"/>
          <w:lang w:val="en-US"/>
        </w:rPr>
        <w:t>,</w:t>
      </w:r>
      <w:r w:rsidRPr="009B40EC">
        <w:rPr>
          <w:rFonts w:eastAsia="Times New Roman" w:cs="Arial"/>
          <w:szCs w:val="24"/>
          <w:lang w:val="en-US"/>
        </w:rPr>
        <w:t xml:space="preserve"> this is the responsibility of the Ministry for Primary Industries, public health units or local governments.</w:t>
      </w:r>
      <w:r w:rsidRPr="009B40EC">
        <w:rPr>
          <w:rFonts w:eastAsia="Times New Roman" w:cs="Arial"/>
          <w:szCs w:val="24"/>
          <w:lang w:val="en-AU"/>
        </w:rPr>
        <w:t xml:space="preserve"> Legal requirements may also change, for example, as government regulations are made or changed and as courts determine cases on food law in Australia and New Zealand</w:t>
      </w:r>
      <w:r w:rsidRPr="009B40EC">
        <w:rPr>
          <w:rFonts w:eastAsia="Times New Roman" w:cs="Arial"/>
          <w:lang w:val="en-AU"/>
        </w:rPr>
        <w:t>.</w:t>
      </w:r>
    </w:p>
    <w:p w:rsidR="009B40EC" w:rsidRPr="009B40EC" w:rsidRDefault="009B40EC" w:rsidP="009B40EC">
      <w:pPr>
        <w:rPr>
          <w:rFonts w:eastAsia="Times New Roman" w:cs="Arial"/>
          <w:lang w:val="en-AU"/>
        </w:rPr>
      </w:pPr>
    </w:p>
    <w:p w:rsidR="009B40EC" w:rsidRPr="009B40EC" w:rsidRDefault="009B40EC" w:rsidP="009B40EC">
      <w:pPr>
        <w:rPr>
          <w:rFonts w:eastAsia="Times New Roman" w:cs="Arial"/>
          <w:b/>
          <w:lang w:val="en-AU"/>
        </w:rPr>
      </w:pPr>
      <w:r w:rsidRPr="009B40EC">
        <w:rPr>
          <w:rFonts w:eastAsia="Times New Roman" w:cs="Arial"/>
          <w:b/>
          <w:lang w:val="en-AU"/>
        </w:rPr>
        <w:t>Food businesses should obtain legal advice to ensure they are aware of developments in the law and any implications of such developments.</w:t>
      </w:r>
    </w:p>
    <w:p w:rsidR="009B40EC" w:rsidRPr="009B40EC" w:rsidRDefault="009B40EC" w:rsidP="009B40EC">
      <w:pPr>
        <w:rPr>
          <w:rFonts w:eastAsia="Times New Roman" w:cs="Arial"/>
          <w:lang w:val="en-AU"/>
        </w:rPr>
      </w:pPr>
    </w:p>
    <w:p w:rsidR="009B40EC" w:rsidRPr="009B40EC" w:rsidRDefault="009B40EC" w:rsidP="009B40EC">
      <w:pPr>
        <w:rPr>
          <w:rFonts w:eastAsia="Times New Roman" w:cs="Arial"/>
          <w:lang w:val="en-AU"/>
        </w:rPr>
      </w:pPr>
      <w:r w:rsidRPr="009B40EC">
        <w:rPr>
          <w:rFonts w:eastAsia="Times New Roman" w:cs="Arial"/>
          <w:lang w:val="en-AU"/>
        </w:rPr>
        <w:t>As well as complying with food standards requirements, food businesses must also continue to comply with other legislation.</w:t>
      </w:r>
    </w:p>
    <w:p w:rsidR="009B40EC" w:rsidRPr="009B40EC" w:rsidRDefault="009B40EC" w:rsidP="009B40EC">
      <w:pPr>
        <w:rPr>
          <w:rFonts w:eastAsia="Times New Roman" w:cs="Arial"/>
          <w:lang w:val="en-AU"/>
        </w:rPr>
      </w:pPr>
    </w:p>
    <w:p w:rsidR="009B40EC" w:rsidRPr="009B40EC" w:rsidRDefault="009B40EC" w:rsidP="009B40EC">
      <w:pPr>
        <w:rPr>
          <w:rFonts w:eastAsia="Times New Roman" w:cs="Arial"/>
          <w:lang w:val="en-AU"/>
        </w:rPr>
      </w:pPr>
      <w:r w:rsidRPr="009B40EC">
        <w:rPr>
          <w:rFonts w:eastAsia="Times New Roman" w:cs="Arial"/>
          <w:lang w:val="en-AU"/>
        </w:rPr>
        <w:t xml:space="preserve">In Australia, this legislation includes the </w:t>
      </w:r>
      <w:r w:rsidRPr="009B40EC">
        <w:rPr>
          <w:rFonts w:eastAsia="Times New Roman" w:cs="Arial"/>
          <w:i/>
          <w:lang w:val="en-AU"/>
        </w:rPr>
        <w:t>Competition and Consumer Act 2010</w:t>
      </w:r>
      <w:r w:rsidRPr="009B40EC">
        <w:rPr>
          <w:rFonts w:eastAsia="Times New Roman" w:cs="Arial"/>
          <w:lang w:val="en-AU"/>
        </w:rPr>
        <w:t xml:space="preserve">; the </w:t>
      </w:r>
      <w:r w:rsidRPr="009B40EC">
        <w:rPr>
          <w:rFonts w:eastAsia="Times New Roman" w:cs="Arial"/>
          <w:i/>
          <w:lang w:val="en-AU"/>
        </w:rPr>
        <w:t>Imported Food Control Act 1992</w:t>
      </w:r>
      <w:r w:rsidRPr="009B40EC">
        <w:rPr>
          <w:rFonts w:eastAsia="Times New Roman" w:cs="Arial"/>
          <w:lang w:val="en-AU"/>
        </w:rPr>
        <w:t>; and state and territory fair trading Acts and food Acts.</w:t>
      </w:r>
    </w:p>
    <w:p w:rsidR="009B40EC" w:rsidRPr="009B40EC" w:rsidRDefault="009B40EC" w:rsidP="009B40EC">
      <w:pPr>
        <w:rPr>
          <w:rFonts w:eastAsia="Times New Roman" w:cs="Arial"/>
          <w:lang w:val="en-AU"/>
        </w:rPr>
      </w:pPr>
    </w:p>
    <w:p w:rsidR="009B40EC" w:rsidRDefault="009B40EC" w:rsidP="009B40EC">
      <w:pPr>
        <w:rPr>
          <w:rFonts w:eastAsia="Times New Roman" w:cs="Arial"/>
          <w:lang w:val="en-AU"/>
        </w:rPr>
      </w:pPr>
      <w:r w:rsidRPr="009B40EC">
        <w:rPr>
          <w:rFonts w:eastAsia="Times New Roman" w:cs="Arial"/>
          <w:lang w:val="en-AU"/>
        </w:rPr>
        <w:t xml:space="preserve">In New Zealand, this legislation includes the </w:t>
      </w:r>
      <w:r w:rsidRPr="009B40EC">
        <w:rPr>
          <w:rFonts w:eastAsia="Times New Roman" w:cs="Arial"/>
          <w:i/>
          <w:lang w:val="en-AU"/>
        </w:rPr>
        <w:t>Food Act 1981</w:t>
      </w:r>
      <w:r w:rsidRPr="009B40EC">
        <w:rPr>
          <w:rFonts w:eastAsia="Times New Roman" w:cs="Arial"/>
          <w:lang w:val="en-AU"/>
        </w:rPr>
        <w:t xml:space="preserve"> and </w:t>
      </w:r>
      <w:r w:rsidRPr="009B40EC">
        <w:rPr>
          <w:rFonts w:eastAsia="Times New Roman" w:cs="Arial"/>
          <w:i/>
          <w:lang w:val="en-AU"/>
        </w:rPr>
        <w:t>Fair Trading Act 1986</w:t>
      </w:r>
      <w:r w:rsidRPr="009B40EC">
        <w:rPr>
          <w:rFonts w:eastAsia="Times New Roman" w:cs="Arial"/>
          <w:lang w:val="en-AU"/>
        </w:rPr>
        <w:t>.</w:t>
      </w:r>
    </w:p>
    <w:p w:rsidR="00AC7124" w:rsidRDefault="00AC7124" w:rsidP="009B40EC">
      <w:pPr>
        <w:rPr>
          <w:rFonts w:eastAsia="Times New Roman" w:cs="Arial"/>
          <w:lang w:val="en-AU"/>
        </w:rPr>
      </w:pPr>
    </w:p>
    <w:p w:rsidR="00AC7124" w:rsidRPr="009B40EC" w:rsidRDefault="00AC7124" w:rsidP="00AC7124">
      <w:pPr>
        <w:pBdr>
          <w:top w:val="single" w:sz="4" w:space="1" w:color="auto"/>
          <w:left w:val="single" w:sz="4" w:space="4" w:color="auto"/>
          <w:bottom w:val="single" w:sz="4" w:space="1" w:color="auto"/>
          <w:right w:val="single" w:sz="4" w:space="4" w:color="auto"/>
        </w:pBdr>
        <w:shd w:val="clear" w:color="auto" w:fill="D9D9D9"/>
        <w:rPr>
          <w:rFonts w:eastAsia="Times New Roman" w:cs="Arial"/>
          <w:b/>
          <w:bCs/>
          <w:lang w:val="en-AU" w:eastAsia="en-GB"/>
        </w:rPr>
      </w:pPr>
    </w:p>
    <w:p w:rsidR="00AC7124" w:rsidRPr="009B40EC" w:rsidRDefault="00AC7124" w:rsidP="00AC7124">
      <w:pPr>
        <w:pBdr>
          <w:top w:val="single" w:sz="4" w:space="1" w:color="auto"/>
          <w:left w:val="single" w:sz="4" w:space="4" w:color="auto"/>
          <w:bottom w:val="single" w:sz="4" w:space="1" w:color="auto"/>
          <w:right w:val="single" w:sz="4" w:space="4" w:color="auto"/>
        </w:pBdr>
        <w:shd w:val="clear" w:color="auto" w:fill="D9D9D9"/>
        <w:rPr>
          <w:rFonts w:eastAsia="Times New Roman" w:cs="Arial"/>
          <w:b/>
          <w:bCs/>
          <w:lang w:val="en-AU" w:eastAsia="en-GB"/>
        </w:rPr>
      </w:pPr>
      <w:r w:rsidRPr="009B40EC">
        <w:rPr>
          <w:rFonts w:eastAsia="Times New Roman" w:cs="Arial"/>
          <w:b/>
          <w:bCs/>
          <w:lang w:val="en-AU" w:eastAsia="en-GB"/>
        </w:rPr>
        <w:t>Disclaimer</w:t>
      </w:r>
    </w:p>
    <w:p w:rsidR="00AC7124" w:rsidRPr="009B40EC" w:rsidRDefault="00AC7124" w:rsidP="00AC7124">
      <w:pPr>
        <w:pBdr>
          <w:top w:val="single" w:sz="4" w:space="1" w:color="auto"/>
          <w:left w:val="single" w:sz="4" w:space="4" w:color="auto"/>
          <w:bottom w:val="single" w:sz="4" w:space="1" w:color="auto"/>
          <w:right w:val="single" w:sz="4" w:space="4" w:color="auto"/>
        </w:pBdr>
        <w:shd w:val="clear" w:color="auto" w:fill="D9D9D9"/>
        <w:rPr>
          <w:rFonts w:eastAsia="Times New Roman" w:cs="Arial"/>
          <w:lang w:val="en-AU"/>
        </w:rPr>
      </w:pPr>
    </w:p>
    <w:p w:rsidR="00AC7124" w:rsidRDefault="00AC7124" w:rsidP="00AC7124">
      <w:pPr>
        <w:pBdr>
          <w:top w:val="single" w:sz="4" w:space="1" w:color="auto"/>
          <w:left w:val="single" w:sz="4" w:space="4" w:color="auto"/>
          <w:bottom w:val="single" w:sz="4" w:space="1" w:color="auto"/>
          <w:right w:val="single" w:sz="4" w:space="4" w:color="auto"/>
        </w:pBdr>
        <w:shd w:val="clear" w:color="auto" w:fill="D9D9D9"/>
        <w:rPr>
          <w:rFonts w:eastAsia="Times New Roman" w:cs="Arial"/>
          <w:bCs/>
          <w:i/>
          <w:lang w:val="en-AU"/>
        </w:rPr>
      </w:pPr>
      <w:r w:rsidRPr="009B40EC">
        <w:rPr>
          <w:rFonts w:eastAsia="Times New Roman" w:cs="Arial"/>
          <w:bCs/>
          <w:lang w:val="en-AU"/>
        </w:rPr>
        <w:t xml:space="preserve">FSANZ disclaims any liability for any loss or injury directly or indirectly sustained by any person as a result of any reliance upon (including reading or using) this </w:t>
      </w:r>
      <w:r>
        <w:rPr>
          <w:rFonts w:eastAsia="Times New Roman" w:cs="Arial"/>
          <w:bCs/>
          <w:lang w:val="en-AU"/>
        </w:rPr>
        <w:t>Guidance document</w:t>
      </w:r>
      <w:r w:rsidRPr="009B40EC">
        <w:rPr>
          <w:rFonts w:eastAsia="Times New Roman" w:cs="Arial"/>
          <w:bCs/>
          <w:lang w:val="en-AU"/>
        </w:rPr>
        <w:t xml:space="preserve">. Any person relying on this </w:t>
      </w:r>
      <w:r>
        <w:rPr>
          <w:rFonts w:eastAsia="Times New Roman" w:cs="Arial"/>
          <w:bCs/>
          <w:lang w:val="en-AU"/>
        </w:rPr>
        <w:t>Guidance document</w:t>
      </w:r>
      <w:r w:rsidRPr="009B40EC">
        <w:rPr>
          <w:rFonts w:eastAsia="Times New Roman" w:cs="Arial"/>
          <w:bCs/>
          <w:lang w:val="en-AU"/>
        </w:rPr>
        <w:t xml:space="preserve"> should seek independent legal advice in relation to any queries they may have regarding obligations imposed under the standards in the </w:t>
      </w:r>
      <w:r w:rsidRPr="009B40EC">
        <w:rPr>
          <w:rFonts w:eastAsia="Times New Roman" w:cs="Arial"/>
          <w:bCs/>
          <w:i/>
          <w:lang w:val="en-AU"/>
        </w:rPr>
        <w:t>Australia New Zealand Food Standards Code.</w:t>
      </w:r>
    </w:p>
    <w:p w:rsidR="00AC7124" w:rsidRDefault="00AC7124" w:rsidP="00AC7124">
      <w:pPr>
        <w:pBdr>
          <w:top w:val="single" w:sz="4" w:space="1" w:color="auto"/>
          <w:left w:val="single" w:sz="4" w:space="4" w:color="auto"/>
          <w:bottom w:val="single" w:sz="4" w:space="1" w:color="auto"/>
          <w:right w:val="single" w:sz="4" w:space="4" w:color="auto"/>
        </w:pBdr>
        <w:shd w:val="clear" w:color="auto" w:fill="D9D9D9"/>
        <w:rPr>
          <w:rFonts w:eastAsia="Times New Roman" w:cs="Arial"/>
          <w:bCs/>
          <w:i/>
          <w:lang w:val="en-AU"/>
        </w:rPr>
      </w:pPr>
    </w:p>
    <w:p w:rsidR="00AC7124" w:rsidRDefault="00AC7124">
      <w:pPr>
        <w:spacing w:after="200" w:line="276" w:lineRule="auto"/>
        <w:rPr>
          <w:rFonts w:eastAsia="Times New Roman" w:cs="Arial"/>
          <w:lang w:val="en-AU"/>
        </w:rPr>
      </w:pPr>
      <w:r>
        <w:rPr>
          <w:rFonts w:eastAsia="Times New Roman" w:cs="Arial"/>
          <w:lang w:val="en-AU"/>
        </w:rPr>
        <w:br w:type="page"/>
      </w:r>
    </w:p>
    <w:p w:rsidR="00065E0F" w:rsidRDefault="00065E0F" w:rsidP="00BD0DA8">
      <w:pPr>
        <w:pStyle w:val="Heading2"/>
      </w:pPr>
      <w:r>
        <w:lastRenderedPageBreak/>
        <w:t>Purpose</w:t>
      </w:r>
    </w:p>
    <w:p w:rsidR="00C876D6" w:rsidRDefault="00C876D6"/>
    <w:p w:rsidR="003244C6" w:rsidRDefault="00E91C31">
      <w:r>
        <w:t>The purpose of this</w:t>
      </w:r>
      <w:r w:rsidRPr="001C2994">
        <w:t xml:space="preserve"> </w:t>
      </w:r>
      <w:r w:rsidR="00CB149D">
        <w:t xml:space="preserve">Guidance </w:t>
      </w:r>
      <w:r w:rsidR="00A52186" w:rsidRPr="001C2994">
        <w:t xml:space="preserve">document </w:t>
      </w:r>
      <w:r>
        <w:t xml:space="preserve">is </w:t>
      </w:r>
      <w:r w:rsidRPr="00127F88">
        <w:rPr>
          <w:rFonts w:cs="Arial"/>
        </w:rPr>
        <w:t xml:space="preserve">to provide an overview </w:t>
      </w:r>
      <w:r>
        <w:rPr>
          <w:rFonts w:cs="Arial"/>
        </w:rPr>
        <w:t>to authorities and producers of</w:t>
      </w:r>
      <w:r w:rsidR="00A52186" w:rsidRPr="001C2994">
        <w:t xml:space="preserve"> </w:t>
      </w:r>
      <w:r w:rsidR="001C2994">
        <w:t>ready-to-eat (</w:t>
      </w:r>
      <w:r w:rsidR="00A52186" w:rsidRPr="001C2994">
        <w:t>RTE</w:t>
      </w:r>
      <w:r w:rsidR="001C2994">
        <w:t>)</w:t>
      </w:r>
      <w:r w:rsidR="00A52186" w:rsidRPr="001C2994">
        <w:t xml:space="preserve"> food </w:t>
      </w:r>
      <w:r>
        <w:t>of</w:t>
      </w:r>
      <w:r w:rsidRPr="001C2994">
        <w:t xml:space="preserve"> </w:t>
      </w:r>
      <w:r w:rsidR="00FC238A" w:rsidRPr="001C2994">
        <w:t xml:space="preserve">microbiological criteria for </w:t>
      </w:r>
      <w:r w:rsidR="00FC238A" w:rsidRPr="00975C2F">
        <w:rPr>
          <w:i/>
        </w:rPr>
        <w:t xml:space="preserve">Listeria monocytogenes </w:t>
      </w:r>
      <w:r w:rsidR="00FC238A" w:rsidRPr="005857BE">
        <w:t>(</w:t>
      </w:r>
      <w:r w:rsidR="00FC238A" w:rsidRPr="003E13D7">
        <w:rPr>
          <w:i/>
          <w:iCs/>
        </w:rPr>
        <w:t>L. monocytogenes</w:t>
      </w:r>
      <w:r w:rsidR="00FC238A">
        <w:rPr>
          <w:iCs/>
        </w:rPr>
        <w:t>)</w:t>
      </w:r>
      <w:r w:rsidR="00FC238A" w:rsidRPr="003E13D7">
        <w:rPr>
          <w:i/>
          <w:iCs/>
        </w:rPr>
        <w:t xml:space="preserve"> </w:t>
      </w:r>
      <w:r w:rsidR="00FC238A" w:rsidRPr="00975C2F">
        <w:t>in</w:t>
      </w:r>
      <w:r w:rsidR="00FC238A">
        <w:t xml:space="preserve"> </w:t>
      </w:r>
      <w:r w:rsidR="00FC238A" w:rsidRPr="001C2994">
        <w:t>RTE foods</w:t>
      </w:r>
      <w:r w:rsidR="00FC238A">
        <w:t xml:space="preserve"> as specified in Standard 1.6.1</w:t>
      </w:r>
      <w:r w:rsidR="00580147">
        <w:t>.</w:t>
      </w:r>
      <w:r w:rsidR="00C820FE">
        <w:t xml:space="preserve">  </w:t>
      </w:r>
      <w:r w:rsidR="00B557AA">
        <w:t>RTE foods are further described on page 4.</w:t>
      </w:r>
    </w:p>
    <w:p w:rsidR="00C820FE" w:rsidRDefault="00C820FE"/>
    <w:p w:rsidR="00D60919" w:rsidRDefault="00D60919" w:rsidP="00BD0DA8">
      <w:pPr>
        <w:pStyle w:val="Heading2"/>
      </w:pPr>
      <w:r>
        <w:t>Background</w:t>
      </w:r>
    </w:p>
    <w:p w:rsidR="00C876D6" w:rsidRDefault="00C876D6" w:rsidP="00D60919"/>
    <w:p w:rsidR="00D60919" w:rsidRDefault="00D60919" w:rsidP="00D60919">
      <w:pPr>
        <w:rPr>
          <w:iCs/>
        </w:rPr>
      </w:pPr>
      <w:r>
        <w:t>T</w:t>
      </w:r>
      <w:r w:rsidRPr="003E13D7">
        <w:t>he ability of a</w:t>
      </w:r>
      <w:r>
        <w:t xml:space="preserve"> </w:t>
      </w:r>
      <w:r w:rsidRPr="003E13D7">
        <w:t xml:space="preserve">food to support the growth of </w:t>
      </w:r>
      <w:r w:rsidRPr="003E13D7">
        <w:rPr>
          <w:i/>
          <w:iCs/>
        </w:rPr>
        <w:t xml:space="preserve">L. monocytogenes </w:t>
      </w:r>
      <w:r>
        <w:rPr>
          <w:iCs/>
        </w:rPr>
        <w:t>increases the risk that the food will contribute to listeriosi</w:t>
      </w:r>
      <w:r w:rsidRPr="003E13D7">
        <w:rPr>
          <w:iCs/>
        </w:rPr>
        <w:t>s</w:t>
      </w:r>
      <w:r>
        <w:rPr>
          <w:iCs/>
        </w:rPr>
        <w:t xml:space="preserve">. Many factors need to be considered in determining whether growth is supported to any significant degree before the food is consumed. A consideration of these factors, including the physical and chemical characteristics of the product, shelf life and processing treatments allows RTE foods </w:t>
      </w:r>
      <w:r w:rsidR="00A16299">
        <w:rPr>
          <w:iCs/>
        </w:rPr>
        <w:t>to be assessed on the</w:t>
      </w:r>
      <w:r>
        <w:rPr>
          <w:iCs/>
        </w:rPr>
        <w:t xml:space="preserve"> </w:t>
      </w:r>
      <w:r w:rsidR="0049578C">
        <w:rPr>
          <w:iCs/>
        </w:rPr>
        <w:t xml:space="preserve">basis </w:t>
      </w:r>
      <w:r>
        <w:rPr>
          <w:iCs/>
        </w:rPr>
        <w:t>o</w:t>
      </w:r>
      <w:r w:rsidR="00A16299">
        <w:rPr>
          <w:iCs/>
        </w:rPr>
        <w:t>f</w:t>
      </w:r>
      <w:r>
        <w:rPr>
          <w:iCs/>
        </w:rPr>
        <w:t xml:space="preserve"> whether growth </w:t>
      </w:r>
      <w:r w:rsidR="00E57785" w:rsidRPr="003E13D7">
        <w:t xml:space="preserve">of </w:t>
      </w:r>
      <w:r w:rsidR="00E57785" w:rsidRPr="003E13D7">
        <w:rPr>
          <w:i/>
          <w:iCs/>
        </w:rPr>
        <w:t xml:space="preserve">L. monocytogenes </w:t>
      </w:r>
      <w:r>
        <w:rPr>
          <w:iCs/>
        </w:rPr>
        <w:t xml:space="preserve">can occur in the food or not. </w:t>
      </w:r>
      <w:r w:rsidR="00A16299">
        <w:rPr>
          <w:iCs/>
        </w:rPr>
        <w:t xml:space="preserve">This approach is reflected in Standard 1.6.1 where two limits for </w:t>
      </w:r>
      <w:r w:rsidR="00A16299" w:rsidRPr="00A16299">
        <w:rPr>
          <w:i/>
          <w:iCs/>
        </w:rPr>
        <w:t>L. monocytogenes</w:t>
      </w:r>
      <w:r w:rsidR="00A16299">
        <w:rPr>
          <w:iCs/>
        </w:rPr>
        <w:t xml:space="preserve"> are specified depending on whether growth </w:t>
      </w:r>
      <w:r w:rsidR="0049578C">
        <w:rPr>
          <w:iCs/>
        </w:rPr>
        <w:t xml:space="preserve">can </w:t>
      </w:r>
      <w:r w:rsidR="00A16299">
        <w:rPr>
          <w:iCs/>
        </w:rPr>
        <w:t>occur.</w:t>
      </w:r>
      <w:r w:rsidR="007A726A">
        <w:rPr>
          <w:iCs/>
        </w:rPr>
        <w:t xml:space="preserve"> </w:t>
      </w:r>
      <w:r w:rsidR="007A726A">
        <w:t>The establishment of two limits in Standard 1.6.1 recognises that for certain RTE foods and processes, occasional low level contamination may be unavoidable and may not present a health risk</w:t>
      </w:r>
      <w:r w:rsidR="00FE387D">
        <w:t xml:space="preserve"> for the general population</w:t>
      </w:r>
      <w:r w:rsidR="007A726A">
        <w:t>.</w:t>
      </w:r>
    </w:p>
    <w:p w:rsidR="00D60919" w:rsidRDefault="00D60919" w:rsidP="00D60919"/>
    <w:p w:rsidR="009D3B0C" w:rsidRDefault="00A16299" w:rsidP="00A16299">
      <w:r>
        <w:t xml:space="preserve">The limits in Standard 1.6.1 are end point limits, applicable to </w:t>
      </w:r>
      <w:r w:rsidR="00F514DA">
        <w:t xml:space="preserve">food for sale or intended for sale. </w:t>
      </w:r>
      <w:r w:rsidR="00BD2D2A">
        <w:t xml:space="preserve">They </w:t>
      </w:r>
      <w:r w:rsidR="00F514DA">
        <w:t>should be met through a</w:t>
      </w:r>
      <w:r>
        <w:t xml:space="preserve"> preventative approach to food </w:t>
      </w:r>
      <w:r w:rsidR="00F514DA">
        <w:t>safety which</w:t>
      </w:r>
      <w:r>
        <w:t xml:space="preserve"> relies on food businesses implementing control measures</w:t>
      </w:r>
      <w:r w:rsidR="007C5404">
        <w:t xml:space="preserve"> throughout production </w:t>
      </w:r>
      <w:r w:rsidR="002F392E">
        <w:t>and/</w:t>
      </w:r>
      <w:r w:rsidR="007C5404">
        <w:t>or processing</w:t>
      </w:r>
      <w:r>
        <w:t xml:space="preserve"> </w:t>
      </w:r>
      <w:r w:rsidR="00BD2D2A">
        <w:t xml:space="preserve">as </w:t>
      </w:r>
      <w:r w:rsidR="00B41329">
        <w:t>required by</w:t>
      </w:r>
      <w:r w:rsidR="006002FF">
        <w:t xml:space="preserve"> </w:t>
      </w:r>
      <w:r w:rsidR="00BD2D2A">
        <w:t>Chapters 3 and 4 of the Code</w:t>
      </w:r>
      <w:r w:rsidR="007A726A">
        <w:t xml:space="preserve"> </w:t>
      </w:r>
      <w:r w:rsidR="00ED6BC3">
        <w:t xml:space="preserve">(Australia only) </w:t>
      </w:r>
      <w:r w:rsidR="007A726A">
        <w:t>and associated state</w:t>
      </w:r>
      <w:r w:rsidR="00ED6BC3">
        <w:t xml:space="preserve"> or territory</w:t>
      </w:r>
      <w:r w:rsidR="007A726A">
        <w:t xml:space="preserve"> regulations</w:t>
      </w:r>
      <w:r w:rsidR="00CA7C28">
        <w:rPr>
          <w:rStyle w:val="FootnoteReference"/>
        </w:rPr>
        <w:footnoteReference w:id="1"/>
      </w:r>
      <w:r w:rsidR="00BD2D2A">
        <w:t xml:space="preserve">. </w:t>
      </w:r>
      <w:r w:rsidR="00097167">
        <w:t>To this end, m</w:t>
      </w:r>
      <w:r w:rsidR="00B41329">
        <w:t xml:space="preserve">icrobiological sampling and testing </w:t>
      </w:r>
      <w:r w:rsidR="00097167">
        <w:t>of</w:t>
      </w:r>
      <w:r w:rsidR="00B41329">
        <w:t xml:space="preserve"> </w:t>
      </w:r>
      <w:r w:rsidR="00B41329" w:rsidRPr="009D3B0C">
        <w:rPr>
          <w:i/>
        </w:rPr>
        <w:t>L. monocytogenes</w:t>
      </w:r>
      <w:r w:rsidR="00B41329">
        <w:t xml:space="preserve"> should</w:t>
      </w:r>
      <w:r w:rsidR="00097167">
        <w:t xml:space="preserve"> be undertaken as appropriate to verify process control and include environmental monitoring, particularly for</w:t>
      </w:r>
      <w:r w:rsidR="002F392E">
        <w:t xml:space="preserve"> those</w:t>
      </w:r>
      <w:r w:rsidR="00097167">
        <w:t xml:space="preserve"> RTE foods that support the growth of </w:t>
      </w:r>
      <w:r w:rsidR="00097167" w:rsidRPr="009D3B0C">
        <w:rPr>
          <w:i/>
        </w:rPr>
        <w:t>L. monocytogenes</w:t>
      </w:r>
      <w:r w:rsidR="00097167">
        <w:t>.</w:t>
      </w:r>
      <w:r w:rsidR="00B557AA">
        <w:t xml:space="preserve"> Figure 1 depicts this integrated approach.</w:t>
      </w:r>
    </w:p>
    <w:p w:rsidR="00DB7E7F" w:rsidRDefault="00097167" w:rsidP="00A16299">
      <w:r>
        <w:t xml:space="preserve"> </w:t>
      </w:r>
      <w:r w:rsidR="00B41329">
        <w:t xml:space="preserve"> </w:t>
      </w:r>
    </w:p>
    <w:p w:rsidR="008C4085" w:rsidRDefault="008C4085" w:rsidP="00091F7B">
      <w:pPr>
        <w:pStyle w:val="FSTableColumnRowheading"/>
      </w:pPr>
      <w:r>
        <w:rPr>
          <w:noProof/>
          <w:lang w:eastAsia="en-GB"/>
        </w:rPr>
        <w:drawing>
          <wp:inline distT="0" distB="0" distL="0" distR="0" wp14:anchorId="7A43662C" wp14:editId="06B3B0E8">
            <wp:extent cx="5610225" cy="3219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41" cy="3221640"/>
                    </a:xfrm>
                    <a:prstGeom prst="rect">
                      <a:avLst/>
                    </a:prstGeom>
                    <a:noFill/>
                  </pic:spPr>
                </pic:pic>
              </a:graphicData>
            </a:graphic>
          </wp:inline>
        </w:drawing>
      </w:r>
    </w:p>
    <w:p w:rsidR="00241F99" w:rsidRDefault="00091F7B" w:rsidP="00241F99">
      <w:pPr>
        <w:pStyle w:val="FSTableColumnRowheading"/>
        <w:rPr>
          <w:b w:val="0"/>
        </w:rPr>
      </w:pPr>
      <w:r w:rsidRPr="00241F99">
        <w:rPr>
          <w:b w:val="0"/>
          <w:i/>
        </w:rPr>
        <w:t>Figure 1</w:t>
      </w:r>
      <w:r w:rsidR="00241F99">
        <w:rPr>
          <w:b w:val="0"/>
          <w:i/>
        </w:rPr>
        <w:t>:</w:t>
      </w:r>
      <w:r w:rsidRPr="00241F99">
        <w:rPr>
          <w:b w:val="0"/>
          <w:i/>
        </w:rPr>
        <w:t xml:space="preserve"> The role of microbiological limits in Standard 1.6.1 within a food safety system</w:t>
      </w:r>
      <w:r w:rsidR="00097167" w:rsidRPr="00241F99">
        <w:rPr>
          <w:b w:val="0"/>
          <w:i/>
        </w:rPr>
        <w:t xml:space="preserve"> </w:t>
      </w:r>
      <w:r w:rsidR="00241F99">
        <w:rPr>
          <w:b w:val="0"/>
        </w:rPr>
        <w:br w:type="page"/>
      </w:r>
    </w:p>
    <w:p w:rsidR="00B7016F" w:rsidRPr="00F755D7" w:rsidRDefault="00B7016F" w:rsidP="00B7016F">
      <w:pPr>
        <w:rPr>
          <w:b/>
        </w:rPr>
      </w:pPr>
      <w:r w:rsidRPr="00F755D7">
        <w:rPr>
          <w:b/>
        </w:rPr>
        <w:lastRenderedPageBreak/>
        <w:t>Environmental monitoring</w:t>
      </w:r>
    </w:p>
    <w:p w:rsidR="00B7016F" w:rsidRDefault="00B7016F" w:rsidP="00B7016F">
      <w:r>
        <w:t xml:space="preserve">Environmental monitoring involves testing of the processing environment (food contact and/or non-food contact surfaces) for </w:t>
      </w:r>
      <w:r w:rsidRPr="00F755D7">
        <w:rPr>
          <w:i/>
        </w:rPr>
        <w:t>L. monocytogenes</w:t>
      </w:r>
      <w:r>
        <w:t xml:space="preserve"> or </w:t>
      </w:r>
      <w:r w:rsidR="00ED6BC3">
        <w:t xml:space="preserve">a </w:t>
      </w:r>
      <w:r>
        <w:t xml:space="preserve">surrogate such as </w:t>
      </w:r>
      <w:r w:rsidRPr="00CA7C28">
        <w:rPr>
          <w:i/>
        </w:rPr>
        <w:t>Listeria</w:t>
      </w:r>
      <w:r>
        <w:t xml:space="preserve"> </w:t>
      </w:r>
      <w:r w:rsidRPr="00CA7C28">
        <w:t>spp</w:t>
      </w:r>
      <w:r>
        <w:t xml:space="preserve">. It is particularly important in facilities producing RTE foods that can support the growth of </w:t>
      </w:r>
      <w:r w:rsidR="006B7F07">
        <w:br w:type="textWrapping" w:clear="all"/>
      </w:r>
      <w:r w:rsidRPr="00F755D7">
        <w:rPr>
          <w:i/>
        </w:rPr>
        <w:t>L. monocytogenes</w:t>
      </w:r>
      <w:r>
        <w:t xml:space="preserve"> and should be undertaken to verify that cleaning and sanitation programs are working and there is control of niches and harbourage sites. The sampling and testing methods used should be sufficient to provide confidence that the environment is </w:t>
      </w:r>
      <w:r w:rsidR="006B7F07">
        <w:t>under</w:t>
      </w:r>
      <w:r>
        <w:t xml:space="preserve"> control or </w:t>
      </w:r>
      <w:r w:rsidR="00B557AA">
        <w:t xml:space="preserve">identify </w:t>
      </w:r>
      <w:r>
        <w:t>that follow-up actions (e.g. further testing or investigation) are required.</w:t>
      </w:r>
    </w:p>
    <w:p w:rsidR="00B7016F" w:rsidRDefault="00B7016F" w:rsidP="00B7016F"/>
    <w:p w:rsidR="00DB7E7F" w:rsidRPr="009D3B0C" w:rsidRDefault="00B651BE" w:rsidP="00A16299">
      <w:pPr>
        <w:rPr>
          <w:b/>
        </w:rPr>
      </w:pPr>
      <w:r w:rsidRPr="009D3B0C">
        <w:rPr>
          <w:b/>
        </w:rPr>
        <w:t>Process control</w:t>
      </w:r>
    </w:p>
    <w:p w:rsidR="00DB7E7F" w:rsidRDefault="00C81B28" w:rsidP="00A16299">
      <w:r>
        <w:t xml:space="preserve">Cross lot or between lot testing of finished product should be </w:t>
      </w:r>
      <w:r w:rsidR="00B7016F">
        <w:t>implemented</w:t>
      </w:r>
      <w:r>
        <w:t xml:space="preserve"> to assess the performance of the food safety control system and verify that the production and processing controls in place are working as intended. </w:t>
      </w:r>
      <w:r w:rsidR="00693D37">
        <w:t xml:space="preserve">This helps </w:t>
      </w:r>
      <w:r w:rsidR="00B557AA">
        <w:t xml:space="preserve">to </w:t>
      </w:r>
      <w:r w:rsidR="00693D37">
        <w:t>ensure that corrective actions are implemented before microbiological criteria are exceeded.</w:t>
      </w:r>
      <w:r w:rsidR="001A1D6C">
        <w:t xml:space="preserve"> </w:t>
      </w:r>
      <w:r w:rsidR="00B7016F">
        <w:t>A sampling schedule (product line, number of samples to be taken,</w:t>
      </w:r>
      <w:r w:rsidR="00B7016F" w:rsidRPr="00B7016F">
        <w:t xml:space="preserve"> </w:t>
      </w:r>
      <w:r w:rsidR="00B7016F">
        <w:t>frequency etc.) should be implemented as appropriate to the operations</w:t>
      </w:r>
      <w:r w:rsidR="009D3B0C">
        <w:t xml:space="preserve"> of the food business</w:t>
      </w:r>
      <w:r w:rsidR="00B7016F">
        <w:t xml:space="preserve">. </w:t>
      </w:r>
    </w:p>
    <w:p w:rsidR="00DB7E7F" w:rsidRDefault="00DB7E7F" w:rsidP="00A16299"/>
    <w:p w:rsidR="00D66FC4" w:rsidRDefault="00D66FC4" w:rsidP="00BD0DA8">
      <w:pPr>
        <w:pStyle w:val="Heading2"/>
      </w:pPr>
      <w:r>
        <w:t>Standard 1.6.1</w:t>
      </w:r>
    </w:p>
    <w:p w:rsidR="00715D26" w:rsidRDefault="00715D26" w:rsidP="00D66FC4">
      <w:pPr>
        <w:rPr>
          <w:rFonts w:eastAsia="Calibri" w:cs="Times New Roman"/>
        </w:rPr>
      </w:pPr>
    </w:p>
    <w:p w:rsidR="00D66FC4" w:rsidRPr="008758D6" w:rsidRDefault="009A2333" w:rsidP="00D66FC4">
      <w:pPr>
        <w:rPr>
          <w:rFonts w:eastAsia="Calibri" w:cs="Times New Roman"/>
        </w:rPr>
      </w:pPr>
      <w:r w:rsidRPr="00A05605">
        <w:rPr>
          <w:rFonts w:eastAsia="Calibri" w:cs="Times New Roman"/>
        </w:rPr>
        <w:t>The Schedule to</w:t>
      </w:r>
      <w:r>
        <w:rPr>
          <w:rFonts w:eastAsia="Calibri" w:cs="Times New Roman"/>
          <w:i/>
        </w:rPr>
        <w:t xml:space="preserve"> </w:t>
      </w:r>
      <w:r w:rsidR="00D66FC4" w:rsidRPr="00417B0E">
        <w:rPr>
          <w:rFonts w:eastAsia="Calibri" w:cs="Times New Roman"/>
        </w:rPr>
        <w:t>Standard 1.6.1</w:t>
      </w:r>
      <w:r w:rsidRPr="00417B0E">
        <w:rPr>
          <w:rFonts w:eastAsia="Calibri" w:cs="Times New Roman"/>
        </w:rPr>
        <w:t xml:space="preserve">– </w:t>
      </w:r>
      <w:r w:rsidR="00D66FC4" w:rsidRPr="00417B0E">
        <w:rPr>
          <w:rFonts w:eastAsia="Calibri" w:cs="Times New Roman"/>
        </w:rPr>
        <w:t xml:space="preserve">Microbiological </w:t>
      </w:r>
      <w:r w:rsidR="00DE67D3">
        <w:rPr>
          <w:rFonts w:eastAsia="Calibri" w:cs="Times New Roman"/>
        </w:rPr>
        <w:t>L</w:t>
      </w:r>
      <w:r w:rsidR="00D66FC4" w:rsidRPr="00417B0E">
        <w:rPr>
          <w:rFonts w:eastAsia="Calibri" w:cs="Times New Roman"/>
        </w:rPr>
        <w:t xml:space="preserve">imits in </w:t>
      </w:r>
      <w:r w:rsidR="00DE67D3">
        <w:rPr>
          <w:rFonts w:eastAsia="Calibri" w:cs="Times New Roman"/>
        </w:rPr>
        <w:t>F</w:t>
      </w:r>
      <w:r w:rsidR="00D66FC4" w:rsidRPr="00417B0E">
        <w:rPr>
          <w:rFonts w:eastAsia="Calibri" w:cs="Times New Roman"/>
        </w:rPr>
        <w:t>ood</w:t>
      </w:r>
      <w:r w:rsidR="00D66FC4" w:rsidRPr="00DE67D3">
        <w:rPr>
          <w:rFonts w:eastAsia="Calibri" w:cs="Times New Roman"/>
        </w:rPr>
        <w:t xml:space="preserve"> </w:t>
      </w:r>
      <w:r w:rsidR="00D66FC4">
        <w:rPr>
          <w:rFonts w:eastAsia="Calibri" w:cs="Times New Roman"/>
        </w:rPr>
        <w:t xml:space="preserve">specifies </w:t>
      </w:r>
      <w:r>
        <w:rPr>
          <w:rFonts w:eastAsia="Calibri" w:cs="Times New Roman"/>
        </w:rPr>
        <w:t xml:space="preserve">end point </w:t>
      </w:r>
      <w:r w:rsidR="00D66FC4">
        <w:rPr>
          <w:rFonts w:eastAsia="Calibri" w:cs="Times New Roman"/>
        </w:rPr>
        <w:t xml:space="preserve">microbiological criteria </w:t>
      </w:r>
      <w:r w:rsidR="00D66FC4" w:rsidRPr="008758D6">
        <w:rPr>
          <w:rFonts w:eastAsia="Calibri" w:cs="Times New Roman"/>
        </w:rPr>
        <w:t xml:space="preserve">for </w:t>
      </w:r>
      <w:r w:rsidR="00D66FC4" w:rsidRPr="00A86981">
        <w:rPr>
          <w:rFonts w:eastAsia="Calibri" w:cs="Times New Roman"/>
          <w:i/>
        </w:rPr>
        <w:t>L.</w:t>
      </w:r>
      <w:r w:rsidR="0049578C">
        <w:rPr>
          <w:rFonts w:eastAsia="Calibri" w:cs="Times New Roman"/>
          <w:i/>
        </w:rPr>
        <w:t> </w:t>
      </w:r>
      <w:r w:rsidR="00D66FC4" w:rsidRPr="00A86981">
        <w:rPr>
          <w:rFonts w:eastAsia="Calibri" w:cs="Times New Roman"/>
          <w:i/>
        </w:rPr>
        <w:t>monocytogenes</w:t>
      </w:r>
      <w:r w:rsidR="00D66FC4">
        <w:rPr>
          <w:rFonts w:eastAsia="Calibri" w:cs="Times New Roman"/>
        </w:rPr>
        <w:t xml:space="preserve"> in RTE</w:t>
      </w:r>
      <w:r w:rsidR="00D66FC4" w:rsidRPr="008758D6">
        <w:rPr>
          <w:rFonts w:eastAsia="Calibri" w:cs="Times New Roman"/>
        </w:rPr>
        <w:t xml:space="preserve"> foods based on whether growth of </w:t>
      </w:r>
      <w:r w:rsidR="00D66FC4" w:rsidRPr="00A72AA3">
        <w:rPr>
          <w:rFonts w:eastAsia="Calibri" w:cs="Times New Roman"/>
        </w:rPr>
        <w:t>the microorganism</w:t>
      </w:r>
      <w:r w:rsidR="00D66FC4">
        <w:rPr>
          <w:rFonts w:eastAsia="Calibri" w:cs="Times New Roman"/>
        </w:rPr>
        <w:t xml:space="preserve"> can occur: </w:t>
      </w:r>
    </w:p>
    <w:p w:rsidR="00D66FC4" w:rsidRDefault="00DA311F" w:rsidP="00D66FC4">
      <w:pPr>
        <w:rPr>
          <w:rFonts w:eastAsia="Calibri" w:cs="Times New Roman"/>
        </w:rPr>
      </w:pPr>
      <w:r>
        <w:rPr>
          <w:rFonts w:eastAsia="Calibri" w:cs="Times New Roman"/>
          <w:noProof/>
          <w:lang w:eastAsia="en-GB"/>
        </w:rPr>
        <mc:AlternateContent>
          <mc:Choice Requires="wps">
            <w:drawing>
              <wp:anchor distT="0" distB="0" distL="114300" distR="114300" simplePos="0" relativeHeight="251666432" behindDoc="0" locked="0" layoutInCell="1" allowOverlap="1" wp14:anchorId="45475791" wp14:editId="5CF720AD">
                <wp:simplePos x="0" y="0"/>
                <wp:positionH relativeFrom="column">
                  <wp:posOffset>13970</wp:posOffset>
                </wp:positionH>
                <wp:positionV relativeFrom="paragraph">
                  <wp:posOffset>136477</wp:posOffset>
                </wp:positionV>
                <wp:extent cx="5947554" cy="2505075"/>
                <wp:effectExtent l="0" t="0" r="15240" b="28575"/>
                <wp:wrapNone/>
                <wp:docPr id="8" name="Text Box 8"/>
                <wp:cNvGraphicFramePr/>
                <a:graphic xmlns:a="http://schemas.openxmlformats.org/drawingml/2006/main">
                  <a:graphicData uri="http://schemas.microsoft.com/office/word/2010/wordprocessingShape">
                    <wps:wsp>
                      <wps:cNvSpPr txBox="1"/>
                      <wps:spPr>
                        <a:xfrm>
                          <a:off x="0" y="0"/>
                          <a:ext cx="5947554" cy="25050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311F" w:rsidRPr="00DA311F" w:rsidRDefault="00DA311F" w:rsidP="00DA311F">
                            <w:pPr>
                              <w:jc w:val="center"/>
                              <w:rPr>
                                <w:rFonts w:eastAsia="Calibri" w:cs="Times New Roman"/>
                                <w:b/>
                              </w:rPr>
                            </w:pPr>
                            <w:r w:rsidRPr="00DA311F">
                              <w:rPr>
                                <w:rFonts w:eastAsia="Calibri" w:cs="Times New Roman"/>
                                <w:b/>
                              </w:rPr>
                              <w:t>SCHEDULE</w:t>
                            </w:r>
                          </w:p>
                          <w:p w:rsidR="00DA311F" w:rsidRPr="00DA311F" w:rsidRDefault="00DA311F" w:rsidP="00DA311F">
                            <w:pPr>
                              <w:jc w:val="center"/>
                              <w:rPr>
                                <w:rFonts w:eastAsia="Calibri" w:cs="Times New Roman"/>
                                <w:b/>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Layout w:type="fixed"/>
                              <w:tblCellMar>
                                <w:left w:w="79" w:type="dxa"/>
                                <w:right w:w="79" w:type="dxa"/>
                              </w:tblCellMar>
                              <w:tblLook w:val="0000" w:firstRow="0" w:lastRow="0" w:firstColumn="0" w:lastColumn="0" w:noHBand="0" w:noVBand="0"/>
                            </w:tblPr>
                            <w:tblGrid>
                              <w:gridCol w:w="1841"/>
                              <w:gridCol w:w="2275"/>
                              <w:gridCol w:w="12"/>
                              <w:gridCol w:w="914"/>
                              <w:gridCol w:w="11"/>
                              <w:gridCol w:w="973"/>
                              <w:gridCol w:w="1617"/>
                              <w:gridCol w:w="11"/>
                              <w:gridCol w:w="1109"/>
                            </w:tblGrid>
                            <w:tr w:rsidR="00DA311F" w:rsidRPr="00DA311F" w:rsidTr="00815F9A">
                              <w:trPr>
                                <w:cantSplit/>
                                <w:trHeight w:val="545"/>
                                <w:jc w:val="center"/>
                              </w:trPr>
                              <w:tc>
                                <w:tcPr>
                                  <w:tcW w:w="1841"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1</w:t>
                                  </w:r>
                                </w:p>
                              </w:tc>
                              <w:tc>
                                <w:tcPr>
                                  <w:tcW w:w="2287" w:type="dxa"/>
                                  <w:gridSpan w:val="2"/>
                                  <w:shd w:val="clear" w:color="auto" w:fill="FFFFFF" w:themeFill="background1"/>
                                </w:tcPr>
                                <w:p w:rsidR="00DA311F" w:rsidRPr="00AF17D6" w:rsidRDefault="00DA311F" w:rsidP="00DA311F">
                                  <w:pPr>
                                    <w:widowControl w:val="0"/>
                                    <w:jc w:val="center"/>
                                    <w:rPr>
                                      <w:rFonts w:eastAsia="Times New Roman" w:cs="Times New Roman"/>
                                      <w:b/>
                                      <w:bCs/>
                                      <w:sz w:val="18"/>
                                      <w:szCs w:val="20"/>
                                    </w:rPr>
                                  </w:pPr>
                                  <w:r w:rsidRPr="00AF17D6">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Cs/>
                                      <w:sz w:val="18"/>
                                      <w:szCs w:val="20"/>
                                    </w:rPr>
                                  </w:pPr>
                                  <w:r w:rsidRPr="00AF17D6">
                                    <w:rPr>
                                      <w:rFonts w:eastAsia="Times New Roman" w:cs="Times New Roman"/>
                                      <w:b/>
                                      <w:bCs/>
                                      <w:sz w:val="18"/>
                                      <w:szCs w:val="20"/>
                                    </w:rPr>
                                    <w:t>2</w:t>
                                  </w:r>
                                </w:p>
                              </w:tc>
                              <w:tc>
                                <w:tcPr>
                                  <w:tcW w:w="925" w:type="dxa"/>
                                  <w:gridSpan w:val="2"/>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3</w:t>
                                  </w:r>
                                </w:p>
                              </w:tc>
                              <w:tc>
                                <w:tcPr>
                                  <w:tcW w:w="972"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4</w:t>
                                  </w:r>
                                </w:p>
                              </w:tc>
                              <w:tc>
                                <w:tcPr>
                                  <w:tcW w:w="1617"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5</w:t>
                                  </w:r>
                                </w:p>
                              </w:tc>
                              <w:tc>
                                <w:tcPr>
                                  <w:tcW w:w="1120" w:type="dxa"/>
                                  <w:gridSpan w:val="2"/>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Column</w:t>
                                  </w:r>
                                </w:p>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6</w:t>
                                  </w:r>
                                </w:p>
                              </w:tc>
                            </w:tr>
                            <w:tr w:rsidR="00DA311F" w:rsidRPr="00DA311F" w:rsidTr="00815F9A">
                              <w:trPr>
                                <w:cantSplit/>
                                <w:trHeight w:val="335"/>
                                <w:jc w:val="center"/>
                              </w:trPr>
                              <w:tc>
                                <w:tcPr>
                                  <w:tcW w:w="1841"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Food</w:t>
                                  </w:r>
                                </w:p>
                              </w:tc>
                              <w:tc>
                                <w:tcPr>
                                  <w:tcW w:w="2287" w:type="dxa"/>
                                  <w:gridSpan w:val="2"/>
                                  <w:shd w:val="clear" w:color="auto" w:fill="FFFFFF" w:themeFill="background1"/>
                                </w:tcPr>
                                <w:p w:rsidR="00DA311F" w:rsidRPr="00AF17D6" w:rsidRDefault="00AF17D6" w:rsidP="00DA311F">
                                  <w:pPr>
                                    <w:widowControl w:val="0"/>
                                    <w:spacing w:after="120"/>
                                    <w:jc w:val="center"/>
                                    <w:rPr>
                                      <w:rFonts w:eastAsia="Times New Roman" w:cs="Times New Roman"/>
                                      <w:b/>
                                      <w:bCs/>
                                      <w:sz w:val="18"/>
                                      <w:szCs w:val="20"/>
                                    </w:rPr>
                                  </w:pPr>
                                  <w:r w:rsidRPr="00AF17D6">
                                    <w:rPr>
                                      <w:rFonts w:eastAsia="Times New Roman" w:cs="Times New Roman"/>
                                      <w:b/>
                                      <w:bCs/>
                                      <w:sz w:val="18"/>
                                      <w:szCs w:val="20"/>
                                    </w:rPr>
                                    <w:t>Microorganism/test</w:t>
                                  </w:r>
                                </w:p>
                              </w:tc>
                              <w:tc>
                                <w:tcPr>
                                  <w:tcW w:w="925" w:type="dxa"/>
                                  <w:gridSpan w:val="2"/>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n</w:t>
                                  </w:r>
                                </w:p>
                              </w:tc>
                              <w:tc>
                                <w:tcPr>
                                  <w:tcW w:w="972"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c</w:t>
                                  </w:r>
                                </w:p>
                              </w:tc>
                              <w:tc>
                                <w:tcPr>
                                  <w:tcW w:w="1617"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m</w:t>
                                  </w:r>
                                </w:p>
                              </w:tc>
                              <w:tc>
                                <w:tcPr>
                                  <w:tcW w:w="1120" w:type="dxa"/>
                                  <w:gridSpan w:val="2"/>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M</w:t>
                                  </w:r>
                                </w:p>
                              </w:tc>
                            </w:tr>
                            <w:tr w:rsidR="00DA311F" w:rsidRPr="00DA311F" w:rsidTr="00815F9A">
                              <w:trPr>
                                <w:cantSplit/>
                                <w:trHeight w:val="1060"/>
                                <w:jc w:val="center"/>
                              </w:trPr>
                              <w:tc>
                                <w:tcPr>
                                  <w:tcW w:w="1841" w:type="dxa"/>
                                  <w:shd w:val="clear" w:color="auto" w:fill="FFFFFF" w:themeFill="background1"/>
                                </w:tcPr>
                                <w:p w:rsidR="00DA311F" w:rsidRPr="00DA311F" w:rsidRDefault="00DA311F" w:rsidP="00DA311F">
                                  <w:pPr>
                                    <w:ind w:left="142" w:hanging="142"/>
                                    <w:rPr>
                                      <w:rFonts w:eastAsia="Times New Roman" w:cs="Times New Roman"/>
                                      <w:bCs/>
                                      <w:sz w:val="18"/>
                                      <w:szCs w:val="24"/>
                                      <w:lang w:val="en-AU"/>
                                    </w:rPr>
                                  </w:pPr>
                                  <w:r w:rsidRPr="00DA311F">
                                    <w:rPr>
                                      <w:rFonts w:eastAsia="Times New Roman" w:cs="Times New Roman"/>
                                      <w:bCs/>
                                      <w:sz w:val="18"/>
                                      <w:szCs w:val="24"/>
                                      <w:lang w:val="en-AU"/>
                                    </w:rPr>
                                    <w:t xml:space="preserve">Ready-to-eat food in which the growth of </w:t>
                                  </w:r>
                                  <w:r w:rsidRPr="00DA311F">
                                    <w:rPr>
                                      <w:rFonts w:eastAsia="Times New Roman" w:cs="Times New Roman"/>
                                      <w:bCs/>
                                      <w:i/>
                                      <w:sz w:val="18"/>
                                      <w:szCs w:val="24"/>
                                      <w:lang w:val="en-AU"/>
                                    </w:rPr>
                                    <w:t>Listeria monocytogenes</w:t>
                                  </w:r>
                                  <w:r w:rsidRPr="00DA311F">
                                    <w:rPr>
                                      <w:rFonts w:eastAsia="Times New Roman" w:cs="Times New Roman"/>
                                      <w:bCs/>
                                      <w:sz w:val="18"/>
                                      <w:szCs w:val="24"/>
                                      <w:lang w:val="en-AU"/>
                                    </w:rPr>
                                    <w:t xml:space="preserve"> will not occur</w:t>
                                  </w:r>
                                </w:p>
                              </w:tc>
                              <w:tc>
                                <w:tcPr>
                                  <w:tcW w:w="2275" w:type="dxa"/>
                                  <w:shd w:val="clear" w:color="auto" w:fill="FFFFFF" w:themeFill="background1"/>
                                </w:tcPr>
                                <w:p w:rsidR="00DA311F" w:rsidRPr="00DA311F" w:rsidRDefault="00DA311F" w:rsidP="00DA311F">
                                  <w:pPr>
                                    <w:ind w:left="142" w:hanging="142"/>
                                    <w:rPr>
                                      <w:rFonts w:eastAsia="Times New Roman" w:cs="Times New Roman"/>
                                      <w:bCs/>
                                      <w:i/>
                                      <w:sz w:val="18"/>
                                      <w:szCs w:val="24"/>
                                      <w:lang w:val="en-AU"/>
                                    </w:rPr>
                                  </w:pPr>
                                  <w:r w:rsidRPr="00DA311F">
                                    <w:rPr>
                                      <w:rFonts w:eastAsia="Times New Roman" w:cs="Times New Roman"/>
                                      <w:bCs/>
                                      <w:i/>
                                      <w:sz w:val="18"/>
                                      <w:szCs w:val="24"/>
                                      <w:lang w:val="en-AU"/>
                                    </w:rPr>
                                    <w:t>Listeria monocytogenes</w:t>
                                  </w:r>
                                </w:p>
                              </w:tc>
                              <w:tc>
                                <w:tcPr>
                                  <w:tcW w:w="926"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5</w:t>
                                  </w:r>
                                </w:p>
                              </w:tc>
                              <w:tc>
                                <w:tcPr>
                                  <w:tcW w:w="984"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0</w:t>
                                  </w:r>
                                </w:p>
                              </w:tc>
                              <w:tc>
                                <w:tcPr>
                                  <w:tcW w:w="1628"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 xml:space="preserve">100 cfu/g </w:t>
                                  </w:r>
                                </w:p>
                              </w:tc>
                              <w:tc>
                                <w:tcPr>
                                  <w:tcW w:w="1109" w:type="dxa"/>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p>
                              </w:tc>
                            </w:tr>
                            <w:tr w:rsidR="00DA311F" w:rsidRPr="00DA311F" w:rsidTr="00815F9A">
                              <w:trPr>
                                <w:cantSplit/>
                                <w:trHeight w:val="1074"/>
                                <w:jc w:val="center"/>
                              </w:trPr>
                              <w:tc>
                                <w:tcPr>
                                  <w:tcW w:w="1841" w:type="dxa"/>
                                  <w:shd w:val="clear" w:color="auto" w:fill="FFFFFF" w:themeFill="background1"/>
                                </w:tcPr>
                                <w:p w:rsidR="00DA311F" w:rsidRPr="00DA311F" w:rsidRDefault="00DA311F" w:rsidP="00DA311F">
                                  <w:pPr>
                                    <w:ind w:left="142" w:hanging="142"/>
                                    <w:rPr>
                                      <w:rFonts w:eastAsia="Times New Roman" w:cs="Times New Roman"/>
                                      <w:bCs/>
                                      <w:sz w:val="18"/>
                                      <w:szCs w:val="24"/>
                                      <w:lang w:val="en-AU"/>
                                    </w:rPr>
                                  </w:pPr>
                                  <w:r w:rsidRPr="00DA311F">
                                    <w:rPr>
                                      <w:rFonts w:eastAsia="Times New Roman" w:cs="Times New Roman"/>
                                      <w:bCs/>
                                      <w:sz w:val="18"/>
                                      <w:szCs w:val="24"/>
                                      <w:lang w:val="en-AU"/>
                                    </w:rPr>
                                    <w:t xml:space="preserve">Ready-to-eat food in which the growth of </w:t>
                                  </w:r>
                                  <w:r w:rsidRPr="00DA311F">
                                    <w:rPr>
                                      <w:rFonts w:eastAsia="Times New Roman" w:cs="Times New Roman"/>
                                      <w:bCs/>
                                      <w:i/>
                                      <w:sz w:val="18"/>
                                      <w:szCs w:val="24"/>
                                      <w:lang w:val="en-AU"/>
                                    </w:rPr>
                                    <w:t>Listeria monocytogenes</w:t>
                                  </w:r>
                                  <w:r w:rsidRPr="00DA311F">
                                    <w:rPr>
                                      <w:rFonts w:eastAsia="Times New Roman" w:cs="Times New Roman"/>
                                      <w:bCs/>
                                      <w:sz w:val="18"/>
                                      <w:szCs w:val="24"/>
                                      <w:lang w:val="en-AU"/>
                                    </w:rPr>
                                    <w:t xml:space="preserve"> can occur</w:t>
                                  </w:r>
                                </w:p>
                              </w:tc>
                              <w:tc>
                                <w:tcPr>
                                  <w:tcW w:w="2275" w:type="dxa"/>
                                  <w:shd w:val="clear" w:color="auto" w:fill="FFFFFF" w:themeFill="background1"/>
                                </w:tcPr>
                                <w:p w:rsidR="00DA311F" w:rsidRPr="00DA311F" w:rsidRDefault="00DA311F" w:rsidP="00DA311F">
                                  <w:pPr>
                                    <w:ind w:left="142" w:hanging="142"/>
                                    <w:rPr>
                                      <w:rFonts w:eastAsia="Times New Roman" w:cs="Times New Roman"/>
                                      <w:bCs/>
                                      <w:i/>
                                      <w:sz w:val="18"/>
                                      <w:szCs w:val="24"/>
                                      <w:lang w:val="en-AU"/>
                                    </w:rPr>
                                  </w:pPr>
                                  <w:r w:rsidRPr="00DA311F">
                                    <w:rPr>
                                      <w:rFonts w:eastAsia="Times New Roman" w:cs="Times New Roman"/>
                                      <w:bCs/>
                                      <w:i/>
                                      <w:sz w:val="18"/>
                                      <w:szCs w:val="24"/>
                                      <w:lang w:val="en-AU"/>
                                    </w:rPr>
                                    <w:t>Listeria monocytogenes</w:t>
                                  </w:r>
                                </w:p>
                              </w:tc>
                              <w:tc>
                                <w:tcPr>
                                  <w:tcW w:w="926"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5</w:t>
                                  </w:r>
                                </w:p>
                              </w:tc>
                              <w:tc>
                                <w:tcPr>
                                  <w:tcW w:w="984"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0</w:t>
                                  </w:r>
                                </w:p>
                              </w:tc>
                              <w:tc>
                                <w:tcPr>
                                  <w:tcW w:w="1628"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not detected in 25 g</w:t>
                                  </w:r>
                                </w:p>
                              </w:tc>
                              <w:tc>
                                <w:tcPr>
                                  <w:tcW w:w="1109" w:type="dxa"/>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p>
                              </w:tc>
                            </w:tr>
                          </w:tbl>
                          <w:p w:rsidR="00DA311F" w:rsidRPr="00DA311F" w:rsidRDefault="00DA311F" w:rsidP="00DA311F">
                            <w:pPr>
                              <w:rPr>
                                <w:rFonts w:eastAsia="Calibri" w:cs="Times New Roman"/>
                              </w:rPr>
                            </w:pPr>
                          </w:p>
                          <w:p w:rsidR="00DA311F" w:rsidRDefault="00DA3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pt;margin-top:10.75pt;width:468.3pt;height:1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" fillcolor="#f2f2f2 [3052]" strokeweight=".5pt">
                <v:textbox>
                  <w:txbxContent>
                    <w:p w:rsidR="00DA311F" w:rsidRPr="00DA311F" w:rsidRDefault="00DA311F" w:rsidP="00DA311F">
                      <w:pPr>
                        <w:jc w:val="center"/>
                        <w:rPr>
                          <w:rFonts w:eastAsia="Calibri" w:cs="Times New Roman"/>
                          <w:b/>
                        </w:rPr>
                      </w:pPr>
                      <w:r w:rsidRPr="00DA311F">
                        <w:rPr>
                          <w:rFonts w:eastAsia="Calibri" w:cs="Times New Roman"/>
                          <w:b/>
                        </w:rPr>
                        <w:t>SCHEDULE</w:t>
                      </w:r>
                    </w:p>
                    <w:p w:rsidR="00DA311F" w:rsidRPr="00DA311F" w:rsidRDefault="00DA311F" w:rsidP="00DA311F">
                      <w:pPr>
                        <w:jc w:val="center"/>
                        <w:rPr>
                          <w:rFonts w:eastAsia="Calibri" w:cs="Times New Roman"/>
                          <w:b/>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Layout w:type="fixed"/>
                        <w:tblCellMar>
                          <w:left w:w="79" w:type="dxa"/>
                          <w:right w:w="79" w:type="dxa"/>
                        </w:tblCellMar>
                        <w:tblLook w:val="0000" w:firstRow="0" w:lastRow="0" w:firstColumn="0" w:lastColumn="0" w:noHBand="0" w:noVBand="0"/>
                      </w:tblPr>
                      <w:tblGrid>
                        <w:gridCol w:w="1841"/>
                        <w:gridCol w:w="2275"/>
                        <w:gridCol w:w="12"/>
                        <w:gridCol w:w="914"/>
                        <w:gridCol w:w="11"/>
                        <w:gridCol w:w="973"/>
                        <w:gridCol w:w="1617"/>
                        <w:gridCol w:w="11"/>
                        <w:gridCol w:w="1109"/>
                      </w:tblGrid>
                      <w:tr w:rsidR="00DA311F" w:rsidRPr="00DA311F" w:rsidTr="00815F9A">
                        <w:trPr>
                          <w:cantSplit/>
                          <w:trHeight w:val="545"/>
                          <w:jc w:val="center"/>
                        </w:trPr>
                        <w:tc>
                          <w:tcPr>
                            <w:tcW w:w="1841"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1</w:t>
                            </w:r>
                          </w:p>
                        </w:tc>
                        <w:tc>
                          <w:tcPr>
                            <w:tcW w:w="2287" w:type="dxa"/>
                            <w:gridSpan w:val="2"/>
                            <w:shd w:val="clear" w:color="auto" w:fill="FFFFFF" w:themeFill="background1"/>
                          </w:tcPr>
                          <w:p w:rsidR="00DA311F" w:rsidRPr="00AF17D6" w:rsidRDefault="00DA311F" w:rsidP="00DA311F">
                            <w:pPr>
                              <w:widowControl w:val="0"/>
                              <w:jc w:val="center"/>
                              <w:rPr>
                                <w:rFonts w:eastAsia="Times New Roman" w:cs="Times New Roman"/>
                                <w:b/>
                                <w:bCs/>
                                <w:sz w:val="18"/>
                                <w:szCs w:val="20"/>
                              </w:rPr>
                            </w:pPr>
                            <w:r w:rsidRPr="00AF17D6">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Cs/>
                                <w:sz w:val="18"/>
                                <w:szCs w:val="20"/>
                              </w:rPr>
                            </w:pPr>
                            <w:r w:rsidRPr="00AF17D6">
                              <w:rPr>
                                <w:rFonts w:eastAsia="Times New Roman" w:cs="Times New Roman"/>
                                <w:b/>
                                <w:bCs/>
                                <w:sz w:val="18"/>
                                <w:szCs w:val="20"/>
                              </w:rPr>
                              <w:t>2</w:t>
                            </w:r>
                          </w:p>
                        </w:tc>
                        <w:tc>
                          <w:tcPr>
                            <w:tcW w:w="925" w:type="dxa"/>
                            <w:gridSpan w:val="2"/>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3</w:t>
                            </w:r>
                          </w:p>
                        </w:tc>
                        <w:tc>
                          <w:tcPr>
                            <w:tcW w:w="972"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4</w:t>
                            </w:r>
                          </w:p>
                        </w:tc>
                        <w:tc>
                          <w:tcPr>
                            <w:tcW w:w="1617" w:type="dxa"/>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 xml:space="preserve">Column </w:t>
                            </w:r>
                          </w:p>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5</w:t>
                            </w:r>
                          </w:p>
                        </w:tc>
                        <w:tc>
                          <w:tcPr>
                            <w:tcW w:w="1120" w:type="dxa"/>
                            <w:gridSpan w:val="2"/>
                            <w:shd w:val="clear" w:color="auto" w:fill="FFFFFF" w:themeFill="background1"/>
                          </w:tcPr>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Column</w:t>
                            </w:r>
                          </w:p>
                          <w:p w:rsidR="00DA311F" w:rsidRPr="00DA311F" w:rsidRDefault="00DA311F" w:rsidP="00DA311F">
                            <w:pPr>
                              <w:widowControl w:val="0"/>
                              <w:jc w:val="center"/>
                              <w:rPr>
                                <w:rFonts w:eastAsia="Times New Roman" w:cs="Times New Roman"/>
                                <w:b/>
                                <w:bCs/>
                                <w:sz w:val="18"/>
                                <w:szCs w:val="20"/>
                              </w:rPr>
                            </w:pPr>
                            <w:r w:rsidRPr="00DA311F">
                              <w:rPr>
                                <w:rFonts w:eastAsia="Times New Roman" w:cs="Times New Roman"/>
                                <w:b/>
                                <w:bCs/>
                                <w:sz w:val="18"/>
                                <w:szCs w:val="20"/>
                              </w:rPr>
                              <w:t>6</w:t>
                            </w:r>
                          </w:p>
                        </w:tc>
                      </w:tr>
                      <w:tr w:rsidR="00DA311F" w:rsidRPr="00DA311F" w:rsidTr="00815F9A">
                        <w:trPr>
                          <w:cantSplit/>
                          <w:trHeight w:val="335"/>
                          <w:jc w:val="center"/>
                        </w:trPr>
                        <w:tc>
                          <w:tcPr>
                            <w:tcW w:w="1841"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Food</w:t>
                            </w:r>
                          </w:p>
                        </w:tc>
                        <w:tc>
                          <w:tcPr>
                            <w:tcW w:w="2287" w:type="dxa"/>
                            <w:gridSpan w:val="2"/>
                            <w:shd w:val="clear" w:color="auto" w:fill="FFFFFF" w:themeFill="background1"/>
                          </w:tcPr>
                          <w:p w:rsidR="00DA311F" w:rsidRPr="00AF17D6" w:rsidRDefault="00AF17D6" w:rsidP="00DA311F">
                            <w:pPr>
                              <w:widowControl w:val="0"/>
                              <w:spacing w:after="120"/>
                              <w:jc w:val="center"/>
                              <w:rPr>
                                <w:rFonts w:eastAsia="Times New Roman" w:cs="Times New Roman"/>
                                <w:b/>
                                <w:bCs/>
                                <w:sz w:val="18"/>
                                <w:szCs w:val="20"/>
                              </w:rPr>
                            </w:pPr>
                            <w:r w:rsidRPr="00AF17D6">
                              <w:rPr>
                                <w:rFonts w:eastAsia="Times New Roman" w:cs="Times New Roman"/>
                                <w:b/>
                                <w:bCs/>
                                <w:sz w:val="18"/>
                                <w:szCs w:val="20"/>
                              </w:rPr>
                              <w:t>Microorganism/test</w:t>
                            </w:r>
                          </w:p>
                        </w:tc>
                        <w:tc>
                          <w:tcPr>
                            <w:tcW w:w="925" w:type="dxa"/>
                            <w:gridSpan w:val="2"/>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n</w:t>
                            </w:r>
                          </w:p>
                        </w:tc>
                        <w:tc>
                          <w:tcPr>
                            <w:tcW w:w="972"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c</w:t>
                            </w:r>
                          </w:p>
                        </w:tc>
                        <w:tc>
                          <w:tcPr>
                            <w:tcW w:w="1617" w:type="dxa"/>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m</w:t>
                            </w:r>
                          </w:p>
                        </w:tc>
                        <w:tc>
                          <w:tcPr>
                            <w:tcW w:w="1120" w:type="dxa"/>
                            <w:gridSpan w:val="2"/>
                            <w:shd w:val="clear" w:color="auto" w:fill="FFFFFF" w:themeFill="background1"/>
                          </w:tcPr>
                          <w:p w:rsidR="00DA311F" w:rsidRPr="00DA311F" w:rsidRDefault="00DA311F" w:rsidP="00DA311F">
                            <w:pPr>
                              <w:widowControl w:val="0"/>
                              <w:spacing w:after="120"/>
                              <w:jc w:val="center"/>
                              <w:rPr>
                                <w:rFonts w:eastAsia="Times New Roman" w:cs="Times New Roman"/>
                                <w:b/>
                                <w:bCs/>
                                <w:sz w:val="18"/>
                                <w:szCs w:val="20"/>
                              </w:rPr>
                            </w:pPr>
                            <w:r w:rsidRPr="00DA311F">
                              <w:rPr>
                                <w:rFonts w:eastAsia="Times New Roman" w:cs="Times New Roman"/>
                                <w:b/>
                                <w:bCs/>
                                <w:sz w:val="18"/>
                                <w:szCs w:val="20"/>
                              </w:rPr>
                              <w:t>M</w:t>
                            </w:r>
                          </w:p>
                        </w:tc>
                      </w:tr>
                      <w:tr w:rsidR="00DA311F" w:rsidRPr="00DA311F" w:rsidTr="00815F9A">
                        <w:trPr>
                          <w:cantSplit/>
                          <w:trHeight w:val="1060"/>
                          <w:jc w:val="center"/>
                        </w:trPr>
                        <w:tc>
                          <w:tcPr>
                            <w:tcW w:w="1841" w:type="dxa"/>
                            <w:shd w:val="clear" w:color="auto" w:fill="FFFFFF" w:themeFill="background1"/>
                          </w:tcPr>
                          <w:p w:rsidR="00DA311F" w:rsidRPr="00DA311F" w:rsidRDefault="00DA311F" w:rsidP="00DA311F">
                            <w:pPr>
                              <w:ind w:left="142" w:hanging="142"/>
                              <w:rPr>
                                <w:rFonts w:eastAsia="Times New Roman" w:cs="Times New Roman"/>
                                <w:bCs/>
                                <w:sz w:val="18"/>
                                <w:szCs w:val="24"/>
                                <w:lang w:val="en-AU"/>
                              </w:rPr>
                            </w:pPr>
                            <w:r w:rsidRPr="00DA311F">
                              <w:rPr>
                                <w:rFonts w:eastAsia="Times New Roman" w:cs="Times New Roman"/>
                                <w:bCs/>
                                <w:sz w:val="18"/>
                                <w:szCs w:val="24"/>
                                <w:lang w:val="en-AU"/>
                              </w:rPr>
                              <w:t xml:space="preserve">Ready-to-eat food in which the growth of </w:t>
                            </w:r>
                            <w:r w:rsidRPr="00DA311F">
                              <w:rPr>
                                <w:rFonts w:eastAsia="Times New Roman" w:cs="Times New Roman"/>
                                <w:bCs/>
                                <w:i/>
                                <w:sz w:val="18"/>
                                <w:szCs w:val="24"/>
                                <w:lang w:val="en-AU"/>
                              </w:rPr>
                              <w:t>Listeria monocytogenes</w:t>
                            </w:r>
                            <w:r w:rsidRPr="00DA311F">
                              <w:rPr>
                                <w:rFonts w:eastAsia="Times New Roman" w:cs="Times New Roman"/>
                                <w:bCs/>
                                <w:sz w:val="18"/>
                                <w:szCs w:val="24"/>
                                <w:lang w:val="en-AU"/>
                              </w:rPr>
                              <w:t xml:space="preserve"> will not occur</w:t>
                            </w:r>
                          </w:p>
                        </w:tc>
                        <w:tc>
                          <w:tcPr>
                            <w:tcW w:w="2275" w:type="dxa"/>
                            <w:shd w:val="clear" w:color="auto" w:fill="FFFFFF" w:themeFill="background1"/>
                          </w:tcPr>
                          <w:p w:rsidR="00DA311F" w:rsidRPr="00DA311F" w:rsidRDefault="00DA311F" w:rsidP="00DA311F">
                            <w:pPr>
                              <w:ind w:left="142" w:hanging="142"/>
                              <w:rPr>
                                <w:rFonts w:eastAsia="Times New Roman" w:cs="Times New Roman"/>
                                <w:bCs/>
                                <w:i/>
                                <w:sz w:val="18"/>
                                <w:szCs w:val="24"/>
                                <w:lang w:val="en-AU"/>
                              </w:rPr>
                            </w:pPr>
                            <w:r w:rsidRPr="00DA311F">
                              <w:rPr>
                                <w:rFonts w:eastAsia="Times New Roman" w:cs="Times New Roman"/>
                                <w:bCs/>
                                <w:i/>
                                <w:sz w:val="18"/>
                                <w:szCs w:val="24"/>
                                <w:lang w:val="en-AU"/>
                              </w:rPr>
                              <w:t>Listeria monocytogenes</w:t>
                            </w:r>
                          </w:p>
                        </w:tc>
                        <w:tc>
                          <w:tcPr>
                            <w:tcW w:w="926"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5</w:t>
                            </w:r>
                          </w:p>
                        </w:tc>
                        <w:tc>
                          <w:tcPr>
                            <w:tcW w:w="984"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0</w:t>
                            </w:r>
                          </w:p>
                        </w:tc>
                        <w:tc>
                          <w:tcPr>
                            <w:tcW w:w="1628"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 xml:space="preserve">100 cfu/g </w:t>
                            </w:r>
                          </w:p>
                        </w:tc>
                        <w:tc>
                          <w:tcPr>
                            <w:tcW w:w="1109" w:type="dxa"/>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p>
                        </w:tc>
                      </w:tr>
                      <w:tr w:rsidR="00DA311F" w:rsidRPr="00DA311F" w:rsidTr="00815F9A">
                        <w:trPr>
                          <w:cantSplit/>
                          <w:trHeight w:val="1074"/>
                          <w:jc w:val="center"/>
                        </w:trPr>
                        <w:tc>
                          <w:tcPr>
                            <w:tcW w:w="1841" w:type="dxa"/>
                            <w:shd w:val="clear" w:color="auto" w:fill="FFFFFF" w:themeFill="background1"/>
                          </w:tcPr>
                          <w:p w:rsidR="00DA311F" w:rsidRPr="00DA311F" w:rsidRDefault="00DA311F" w:rsidP="00DA311F">
                            <w:pPr>
                              <w:ind w:left="142" w:hanging="142"/>
                              <w:rPr>
                                <w:rFonts w:eastAsia="Times New Roman" w:cs="Times New Roman"/>
                                <w:bCs/>
                                <w:sz w:val="18"/>
                                <w:szCs w:val="24"/>
                                <w:lang w:val="en-AU"/>
                              </w:rPr>
                            </w:pPr>
                            <w:r w:rsidRPr="00DA311F">
                              <w:rPr>
                                <w:rFonts w:eastAsia="Times New Roman" w:cs="Times New Roman"/>
                                <w:bCs/>
                                <w:sz w:val="18"/>
                                <w:szCs w:val="24"/>
                                <w:lang w:val="en-AU"/>
                              </w:rPr>
                              <w:t xml:space="preserve">Ready-to-eat food in which the growth of </w:t>
                            </w:r>
                            <w:r w:rsidRPr="00DA311F">
                              <w:rPr>
                                <w:rFonts w:eastAsia="Times New Roman" w:cs="Times New Roman"/>
                                <w:bCs/>
                                <w:i/>
                                <w:sz w:val="18"/>
                                <w:szCs w:val="24"/>
                                <w:lang w:val="en-AU"/>
                              </w:rPr>
                              <w:t>Listeria monocytogenes</w:t>
                            </w:r>
                            <w:r w:rsidRPr="00DA311F">
                              <w:rPr>
                                <w:rFonts w:eastAsia="Times New Roman" w:cs="Times New Roman"/>
                                <w:bCs/>
                                <w:sz w:val="18"/>
                                <w:szCs w:val="24"/>
                                <w:lang w:val="en-AU"/>
                              </w:rPr>
                              <w:t xml:space="preserve"> can occur</w:t>
                            </w:r>
                          </w:p>
                        </w:tc>
                        <w:tc>
                          <w:tcPr>
                            <w:tcW w:w="2275" w:type="dxa"/>
                            <w:shd w:val="clear" w:color="auto" w:fill="FFFFFF" w:themeFill="background1"/>
                          </w:tcPr>
                          <w:p w:rsidR="00DA311F" w:rsidRPr="00DA311F" w:rsidRDefault="00DA311F" w:rsidP="00DA311F">
                            <w:pPr>
                              <w:ind w:left="142" w:hanging="142"/>
                              <w:rPr>
                                <w:rFonts w:eastAsia="Times New Roman" w:cs="Times New Roman"/>
                                <w:bCs/>
                                <w:i/>
                                <w:sz w:val="18"/>
                                <w:szCs w:val="24"/>
                                <w:lang w:val="en-AU"/>
                              </w:rPr>
                            </w:pPr>
                            <w:r w:rsidRPr="00DA311F">
                              <w:rPr>
                                <w:rFonts w:eastAsia="Times New Roman" w:cs="Times New Roman"/>
                                <w:bCs/>
                                <w:i/>
                                <w:sz w:val="18"/>
                                <w:szCs w:val="24"/>
                                <w:lang w:val="en-AU"/>
                              </w:rPr>
                              <w:t>Listeria monocytogenes</w:t>
                            </w:r>
                          </w:p>
                        </w:tc>
                        <w:tc>
                          <w:tcPr>
                            <w:tcW w:w="926"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5</w:t>
                            </w:r>
                          </w:p>
                        </w:tc>
                        <w:tc>
                          <w:tcPr>
                            <w:tcW w:w="984"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0</w:t>
                            </w:r>
                          </w:p>
                        </w:tc>
                        <w:tc>
                          <w:tcPr>
                            <w:tcW w:w="1628" w:type="dxa"/>
                            <w:gridSpan w:val="2"/>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r w:rsidRPr="00DA311F">
                              <w:rPr>
                                <w:rFonts w:eastAsia="Times New Roman" w:cs="Times New Roman"/>
                                <w:bCs/>
                                <w:sz w:val="18"/>
                                <w:szCs w:val="24"/>
                                <w:lang w:val="en-AU"/>
                              </w:rPr>
                              <w:t>not detected in 25 g</w:t>
                            </w:r>
                          </w:p>
                        </w:tc>
                        <w:tc>
                          <w:tcPr>
                            <w:tcW w:w="1109" w:type="dxa"/>
                            <w:shd w:val="clear" w:color="auto" w:fill="FFFFFF" w:themeFill="background1"/>
                          </w:tcPr>
                          <w:p w:rsidR="00DA311F" w:rsidRPr="00DA311F" w:rsidRDefault="00DA311F" w:rsidP="00DA311F">
                            <w:pPr>
                              <w:ind w:left="142" w:hanging="142"/>
                              <w:jc w:val="center"/>
                              <w:rPr>
                                <w:rFonts w:eastAsia="Times New Roman" w:cs="Times New Roman"/>
                                <w:bCs/>
                                <w:sz w:val="18"/>
                                <w:szCs w:val="24"/>
                                <w:lang w:val="en-AU"/>
                              </w:rPr>
                            </w:pPr>
                          </w:p>
                        </w:tc>
                      </w:tr>
                    </w:tbl>
                    <w:p w:rsidR="00DA311F" w:rsidRPr="00DA311F" w:rsidRDefault="00DA311F" w:rsidP="00DA311F">
                      <w:pPr>
                        <w:rPr>
                          <w:rFonts w:eastAsia="Calibri" w:cs="Times New Roman"/>
                        </w:rPr>
                      </w:pPr>
                    </w:p>
                    <w:p w:rsidR="00DA311F" w:rsidRDefault="00DA311F"/>
                  </w:txbxContent>
                </v:textbox>
              </v:shape>
            </w:pict>
          </mc:Fallback>
        </mc:AlternateContent>
      </w: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rPr>
          <w:rFonts w:eastAsia="Calibri" w:cs="Times New Roman"/>
        </w:rPr>
      </w:pPr>
    </w:p>
    <w:p w:rsidR="00DA311F" w:rsidRDefault="00DA311F" w:rsidP="00D66FC4">
      <w:pPr>
        <w:jc w:val="center"/>
        <w:rPr>
          <w:rFonts w:eastAsia="Calibri" w:cs="Times New Roman"/>
          <w:b/>
        </w:rPr>
      </w:pPr>
    </w:p>
    <w:p w:rsidR="00DA311F" w:rsidRDefault="00DA311F" w:rsidP="00D66FC4">
      <w:pPr>
        <w:jc w:val="center"/>
        <w:rPr>
          <w:rFonts w:eastAsia="Calibri" w:cs="Times New Roman"/>
          <w:b/>
        </w:rPr>
      </w:pPr>
    </w:p>
    <w:p w:rsidR="00DA311F" w:rsidRDefault="00DA311F" w:rsidP="00D66FC4">
      <w:pPr>
        <w:jc w:val="center"/>
        <w:rPr>
          <w:rFonts w:eastAsia="Calibri" w:cs="Times New Roman"/>
          <w:b/>
        </w:rPr>
      </w:pPr>
    </w:p>
    <w:p w:rsidR="00DA311F" w:rsidRDefault="00DA311F" w:rsidP="00D66FC4">
      <w:pPr>
        <w:jc w:val="center"/>
        <w:rPr>
          <w:rFonts w:eastAsia="Calibri" w:cs="Times New Roman"/>
          <w:b/>
        </w:rPr>
      </w:pPr>
    </w:p>
    <w:p w:rsidR="00DA311F" w:rsidRDefault="00DA311F" w:rsidP="00D66FC4">
      <w:pPr>
        <w:jc w:val="center"/>
        <w:rPr>
          <w:rFonts w:eastAsia="Calibri" w:cs="Times New Roman"/>
          <w:b/>
        </w:rPr>
      </w:pPr>
    </w:p>
    <w:p w:rsidR="00D66FC4" w:rsidRDefault="00D66FC4" w:rsidP="00D66FC4">
      <w:pPr>
        <w:rPr>
          <w:rFonts w:eastAsia="Calibri" w:cs="Times New Roman"/>
        </w:rPr>
      </w:pPr>
    </w:p>
    <w:p w:rsidR="00274467" w:rsidRDefault="00274467" w:rsidP="00274467">
      <w:pPr>
        <w:rPr>
          <w:rFonts w:eastAsia="Calibri" w:cs="Times New Roman"/>
        </w:rPr>
      </w:pPr>
      <w:r>
        <w:rPr>
          <w:rFonts w:eastAsia="Calibri" w:cs="Times New Roman"/>
        </w:rPr>
        <w:t xml:space="preserve">These criteria are based on the food product being produced under general principles of food hygiene to control </w:t>
      </w:r>
      <w:r w:rsidRPr="00AE1452">
        <w:rPr>
          <w:rFonts w:eastAsia="Calibri" w:cs="Times New Roman"/>
          <w:i/>
        </w:rPr>
        <w:t>L. monocytogenes</w:t>
      </w:r>
      <w:r>
        <w:rPr>
          <w:rFonts w:eastAsia="Calibri" w:cs="Times New Roman"/>
        </w:rPr>
        <w:t xml:space="preserve"> in RTE foods with appropriate evaluation of the production environment and process control</w:t>
      </w:r>
      <w:r w:rsidR="0058268F">
        <w:rPr>
          <w:rFonts w:eastAsia="Calibri" w:cs="Times New Roman"/>
        </w:rPr>
        <w:t>.</w:t>
      </w:r>
    </w:p>
    <w:p w:rsidR="00270073" w:rsidRDefault="00270073" w:rsidP="00274467">
      <w:pPr>
        <w:rPr>
          <w:rFonts w:eastAsia="Calibri" w:cs="Times New Roman"/>
        </w:rPr>
      </w:pPr>
    </w:p>
    <w:p w:rsidR="00500DCE" w:rsidRPr="009D3B0C" w:rsidRDefault="00500DCE" w:rsidP="00274467">
      <w:pPr>
        <w:rPr>
          <w:rFonts w:eastAsia="Calibri" w:cs="Times New Roman"/>
          <w:b/>
        </w:rPr>
      </w:pPr>
      <w:r w:rsidRPr="009D3B0C">
        <w:rPr>
          <w:rFonts w:eastAsia="Calibri" w:cs="Times New Roman"/>
          <w:b/>
        </w:rPr>
        <w:t>RTE foods</w:t>
      </w:r>
    </w:p>
    <w:p w:rsidR="00500DCE" w:rsidRDefault="00500DCE" w:rsidP="00274467">
      <w:pPr>
        <w:rPr>
          <w:rFonts w:eastAsia="Calibri" w:cs="Times New Roman"/>
        </w:rPr>
      </w:pPr>
    </w:p>
    <w:p w:rsidR="00500DCE" w:rsidRDefault="00500DCE" w:rsidP="00500DCE">
      <w:r>
        <w:t xml:space="preserve">For some RTE foods, the application of </w:t>
      </w:r>
      <w:r w:rsidRPr="009D3B0C">
        <w:rPr>
          <w:i/>
        </w:rPr>
        <w:t>L. monocytogenes</w:t>
      </w:r>
      <w:r>
        <w:t xml:space="preserve"> limits is not relevant</w:t>
      </w:r>
      <w:r w:rsidR="00CA46BE">
        <w:t xml:space="preserve"> and testing of such foods would be unnecessary. As such, </w:t>
      </w:r>
      <w:r w:rsidR="00B557AA">
        <w:t>the</w:t>
      </w:r>
      <w:r>
        <w:t xml:space="preserve"> definition for RTE foods is included in Standard 1.6.1 that specifically excludes categories of RTE foods from the limits for </w:t>
      </w:r>
      <w:r w:rsidR="006B7F07">
        <w:br w:type="textWrapping" w:clear="all"/>
      </w:r>
      <w:r w:rsidRPr="00A56E7C">
        <w:rPr>
          <w:i/>
        </w:rPr>
        <w:t>L. monocytogenes</w:t>
      </w:r>
      <w:r>
        <w:t xml:space="preserve"> based on their nature and inherent characteristics</w:t>
      </w:r>
      <w:r w:rsidR="00815F9A">
        <w:t>:</w:t>
      </w:r>
    </w:p>
    <w:p w:rsidR="009D3B0C" w:rsidRPr="00815F9A" w:rsidRDefault="00815F9A" w:rsidP="00164C54">
      <w:r>
        <w:rPr>
          <w:noProof/>
          <w:lang w:eastAsia="en-GB"/>
        </w:rPr>
        <w:lastRenderedPageBreak/>
        <mc:AlternateContent>
          <mc:Choice Requires="wps">
            <w:drawing>
              <wp:anchor distT="0" distB="0" distL="114300" distR="114300" simplePos="0" relativeHeight="251663360" behindDoc="0" locked="0" layoutInCell="1" allowOverlap="1" wp14:anchorId="0FAD863C" wp14:editId="0F03692B">
                <wp:simplePos x="0" y="0"/>
                <wp:positionH relativeFrom="column">
                  <wp:posOffset>74295</wp:posOffset>
                </wp:positionH>
                <wp:positionV relativeFrom="paragraph">
                  <wp:posOffset>-81280</wp:posOffset>
                </wp:positionV>
                <wp:extent cx="5455285" cy="1440180"/>
                <wp:effectExtent l="0" t="0" r="12065" b="26670"/>
                <wp:wrapSquare wrapText="bothSides"/>
                <wp:docPr id="4" name="Text Box 4"/>
                <wp:cNvGraphicFramePr/>
                <a:graphic xmlns:a="http://schemas.openxmlformats.org/drawingml/2006/main">
                  <a:graphicData uri="http://schemas.microsoft.com/office/word/2010/wordprocessingShape">
                    <wps:wsp>
                      <wps:cNvSpPr txBox="1"/>
                      <wps:spPr>
                        <a:xfrm>
                          <a:off x="0" y="0"/>
                          <a:ext cx="5455285" cy="1440180"/>
                        </a:xfrm>
                        <a:prstGeom prst="rect">
                          <a:avLst/>
                        </a:prstGeom>
                        <a:solidFill>
                          <a:schemeClr val="bg1">
                            <a:lumMod val="95000"/>
                          </a:schemeClr>
                        </a:solidFill>
                        <a:ln w="6350">
                          <a:solidFill>
                            <a:prstClr val="black"/>
                          </a:solidFill>
                        </a:ln>
                        <a:effectLst/>
                      </wps:spPr>
                      <wps:txbx>
                        <w:txbxContent>
                          <w:p w:rsidR="00815F9A" w:rsidRPr="00F44F46" w:rsidRDefault="00815F9A" w:rsidP="00815F9A">
                            <w:pPr>
                              <w:pStyle w:val="Definition"/>
                            </w:pPr>
                            <w:r w:rsidRPr="00F44F46">
                              <w:rPr>
                                <w:b/>
                              </w:rPr>
                              <w:t xml:space="preserve">ready-to-eat </w:t>
                            </w:r>
                            <w:r w:rsidRPr="00340C95">
                              <w:rPr>
                                <w:b/>
                              </w:rPr>
                              <w:t>food</w:t>
                            </w:r>
                            <w:r w:rsidRPr="00F44F46">
                              <w:t xml:space="preserve"> means a food that</w:t>
                            </w:r>
                            <w:r w:rsidR="00A73373">
                              <w:t xml:space="preserve"> –</w:t>
                            </w:r>
                          </w:p>
                          <w:p w:rsidR="00815F9A" w:rsidRPr="00F44F46" w:rsidRDefault="00815F9A" w:rsidP="00815F9A">
                            <w:pPr>
                              <w:pStyle w:val="Definition"/>
                              <w:widowControl/>
                              <w:numPr>
                                <w:ilvl w:val="0"/>
                                <w:numId w:val="40"/>
                              </w:numPr>
                            </w:pPr>
                            <w:r w:rsidRPr="00F44F46">
                              <w:t>is ordinarily consumed in the same state as that in which it is sold;</w:t>
                            </w:r>
                            <w:r w:rsidR="00FB0871">
                              <w:t xml:space="preserve"> and</w:t>
                            </w:r>
                          </w:p>
                          <w:p w:rsidR="00815F9A" w:rsidRDefault="00815F9A" w:rsidP="00815F9A">
                            <w:pPr>
                              <w:pStyle w:val="Definition"/>
                              <w:widowControl/>
                              <w:numPr>
                                <w:ilvl w:val="0"/>
                                <w:numId w:val="40"/>
                              </w:numPr>
                            </w:pPr>
                            <w:r w:rsidRPr="00F44F46">
                              <w:t>will not be subject to a listericidal process before consumption; and</w:t>
                            </w:r>
                          </w:p>
                          <w:p w:rsidR="00815F9A" w:rsidRPr="00F44F46" w:rsidRDefault="00815F9A" w:rsidP="00815F9A">
                            <w:pPr>
                              <w:pStyle w:val="Definition"/>
                              <w:widowControl/>
                              <w:numPr>
                                <w:ilvl w:val="0"/>
                                <w:numId w:val="40"/>
                              </w:numPr>
                            </w:pPr>
                            <w:r w:rsidRPr="00F44F46">
                              <w:t>is not one of the following</w:t>
                            </w:r>
                            <w:r w:rsidR="00A73373">
                              <w:t xml:space="preserve"> –</w:t>
                            </w:r>
                          </w:p>
                          <w:p w:rsidR="00815F9A" w:rsidRPr="00F44F46" w:rsidRDefault="00815F9A" w:rsidP="00815F9A">
                            <w:pPr>
                              <w:pStyle w:val="Definition"/>
                              <w:widowControl/>
                              <w:numPr>
                                <w:ilvl w:val="0"/>
                                <w:numId w:val="41"/>
                              </w:numPr>
                            </w:pPr>
                            <w:r w:rsidRPr="00F44F46">
                              <w:t>shelf stable foods</w:t>
                            </w:r>
                            <w:r w:rsidR="00A73373">
                              <w:t>;</w:t>
                            </w:r>
                            <w:r w:rsidRPr="00F44F46">
                              <w:t xml:space="preserve"> </w:t>
                            </w:r>
                          </w:p>
                          <w:p w:rsidR="00815F9A" w:rsidRPr="00F44F46" w:rsidRDefault="00815F9A" w:rsidP="00815F9A">
                            <w:pPr>
                              <w:pStyle w:val="Subparagraph"/>
                              <w:widowControl/>
                              <w:numPr>
                                <w:ilvl w:val="0"/>
                                <w:numId w:val="41"/>
                              </w:numPr>
                            </w:pPr>
                            <w:r w:rsidRPr="00F44F46">
                              <w:t>whole raw fruits</w:t>
                            </w:r>
                            <w:r w:rsidR="00A73373">
                              <w:t>;</w:t>
                            </w:r>
                          </w:p>
                          <w:p w:rsidR="00815F9A" w:rsidRPr="00F44F46" w:rsidRDefault="00815F9A" w:rsidP="00815F9A">
                            <w:pPr>
                              <w:pStyle w:val="Subparagraph"/>
                              <w:widowControl/>
                              <w:numPr>
                                <w:ilvl w:val="0"/>
                                <w:numId w:val="41"/>
                              </w:numPr>
                            </w:pPr>
                            <w:r w:rsidRPr="00F44F46">
                              <w:t xml:space="preserve">whole </w:t>
                            </w:r>
                            <w:r>
                              <w:t xml:space="preserve">raw </w:t>
                            </w:r>
                            <w:r w:rsidRPr="00F44F46">
                              <w:t>vegetables</w:t>
                            </w:r>
                            <w:r w:rsidR="00A73373">
                              <w:t>;</w:t>
                            </w:r>
                            <w:r w:rsidRPr="00F44F46">
                              <w:t xml:space="preserve"> </w:t>
                            </w:r>
                          </w:p>
                          <w:p w:rsidR="00815F9A" w:rsidRDefault="00815F9A" w:rsidP="00815F9A">
                            <w:pPr>
                              <w:pStyle w:val="Subparagraph"/>
                              <w:widowControl/>
                              <w:numPr>
                                <w:ilvl w:val="0"/>
                                <w:numId w:val="41"/>
                              </w:numPr>
                            </w:pPr>
                            <w:r w:rsidRPr="00F44F46">
                              <w:t>nuts</w:t>
                            </w:r>
                            <w:r>
                              <w:t xml:space="preserve"> in the shell</w:t>
                            </w:r>
                            <w:r w:rsidR="00A73373">
                              <w:t>;</w:t>
                            </w:r>
                          </w:p>
                          <w:p w:rsidR="00815F9A" w:rsidRPr="00815F9A" w:rsidRDefault="00815F9A" w:rsidP="00815F9A">
                            <w:pPr>
                              <w:pStyle w:val="Definition"/>
                              <w:widowControl/>
                              <w:numPr>
                                <w:ilvl w:val="0"/>
                                <w:numId w:val="41"/>
                              </w:numPr>
                            </w:pPr>
                            <w:r>
                              <w:t>live bivalve molluscs</w:t>
                            </w:r>
                            <w:r w:rsidR="00A73373">
                              <w:t>.</w:t>
                            </w:r>
                          </w:p>
                          <w:p w:rsidR="00164C54" w:rsidRPr="005325CE" w:rsidRDefault="00164C54" w:rsidP="005325CE">
                            <w:pPr>
                              <w:ind w:left="144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85pt;margin-top:-6.4pt;width:429.55pt;height:1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" fillcolor="#f2f2f2 [3052]" strokeweight=".5pt">
                <v:textbox>
                  <w:txbxContent>
                    <w:p w:rsidR="00815F9A" w:rsidRPr="00F44F46" w:rsidRDefault="00815F9A" w:rsidP="00815F9A">
                      <w:pPr>
                        <w:pStyle w:val="Definition"/>
                      </w:pPr>
                      <w:r w:rsidRPr="00F44F46">
                        <w:rPr>
                          <w:b/>
                        </w:rPr>
                        <w:t xml:space="preserve">ready-to-eat </w:t>
                      </w:r>
                      <w:r w:rsidRPr="00340C95">
                        <w:rPr>
                          <w:b/>
                        </w:rPr>
                        <w:t>food</w:t>
                      </w:r>
                      <w:r w:rsidRPr="00F44F46">
                        <w:t xml:space="preserve"> means a food that</w:t>
                      </w:r>
                      <w:r w:rsidR="00A73373">
                        <w:t xml:space="preserve"> –</w:t>
                      </w:r>
                    </w:p>
                    <w:p w:rsidR="00815F9A" w:rsidRPr="00F44F46" w:rsidRDefault="00815F9A" w:rsidP="00815F9A">
                      <w:pPr>
                        <w:pStyle w:val="Definition"/>
                        <w:widowControl/>
                        <w:numPr>
                          <w:ilvl w:val="0"/>
                          <w:numId w:val="40"/>
                        </w:numPr>
                      </w:pPr>
                      <w:r w:rsidRPr="00F44F46">
                        <w:t>is ordinarily consumed in the same state as that in which it is sold;</w:t>
                      </w:r>
                      <w:r w:rsidR="00FB0871">
                        <w:t xml:space="preserve"> and</w:t>
                      </w:r>
                    </w:p>
                    <w:p w:rsidR="00815F9A" w:rsidRDefault="00815F9A" w:rsidP="00815F9A">
                      <w:pPr>
                        <w:pStyle w:val="Definition"/>
                        <w:widowControl/>
                        <w:numPr>
                          <w:ilvl w:val="0"/>
                          <w:numId w:val="40"/>
                        </w:numPr>
                      </w:pPr>
                      <w:r w:rsidRPr="00F44F46">
                        <w:t>will not be subject to a listericidal process before consumption; and</w:t>
                      </w:r>
                    </w:p>
                    <w:p w:rsidR="00815F9A" w:rsidRPr="00F44F46" w:rsidRDefault="00815F9A" w:rsidP="00815F9A">
                      <w:pPr>
                        <w:pStyle w:val="Definition"/>
                        <w:widowControl/>
                        <w:numPr>
                          <w:ilvl w:val="0"/>
                          <w:numId w:val="40"/>
                        </w:numPr>
                      </w:pPr>
                      <w:r w:rsidRPr="00F44F46">
                        <w:t>is not one of the following</w:t>
                      </w:r>
                      <w:r w:rsidR="00A73373">
                        <w:t xml:space="preserve"> –</w:t>
                      </w:r>
                    </w:p>
                    <w:p w:rsidR="00815F9A" w:rsidRPr="00F44F46" w:rsidRDefault="00815F9A" w:rsidP="00815F9A">
                      <w:pPr>
                        <w:pStyle w:val="Definition"/>
                        <w:widowControl/>
                        <w:numPr>
                          <w:ilvl w:val="0"/>
                          <w:numId w:val="41"/>
                        </w:numPr>
                      </w:pPr>
                      <w:r w:rsidRPr="00F44F46">
                        <w:t>shelf stable foods</w:t>
                      </w:r>
                      <w:r w:rsidR="00A73373">
                        <w:t>;</w:t>
                      </w:r>
                      <w:r w:rsidRPr="00F44F46">
                        <w:t xml:space="preserve"> </w:t>
                      </w:r>
                    </w:p>
                    <w:p w:rsidR="00815F9A" w:rsidRPr="00F44F46" w:rsidRDefault="00815F9A" w:rsidP="00815F9A">
                      <w:pPr>
                        <w:pStyle w:val="Subparagraph"/>
                        <w:widowControl/>
                        <w:numPr>
                          <w:ilvl w:val="0"/>
                          <w:numId w:val="41"/>
                        </w:numPr>
                      </w:pPr>
                      <w:r w:rsidRPr="00F44F46">
                        <w:t>whole raw fruits</w:t>
                      </w:r>
                      <w:r w:rsidR="00A73373">
                        <w:t>;</w:t>
                      </w:r>
                    </w:p>
                    <w:p w:rsidR="00815F9A" w:rsidRPr="00F44F46" w:rsidRDefault="00815F9A" w:rsidP="00815F9A">
                      <w:pPr>
                        <w:pStyle w:val="Subparagraph"/>
                        <w:widowControl/>
                        <w:numPr>
                          <w:ilvl w:val="0"/>
                          <w:numId w:val="41"/>
                        </w:numPr>
                      </w:pPr>
                      <w:r w:rsidRPr="00F44F46">
                        <w:t xml:space="preserve">whole </w:t>
                      </w:r>
                      <w:r>
                        <w:t xml:space="preserve">raw </w:t>
                      </w:r>
                      <w:r w:rsidRPr="00F44F46">
                        <w:t>vegetables</w:t>
                      </w:r>
                      <w:r w:rsidR="00A73373">
                        <w:t>;</w:t>
                      </w:r>
                      <w:r w:rsidRPr="00F44F46">
                        <w:t xml:space="preserve"> </w:t>
                      </w:r>
                    </w:p>
                    <w:p w:rsidR="00815F9A" w:rsidRDefault="00815F9A" w:rsidP="00815F9A">
                      <w:pPr>
                        <w:pStyle w:val="Subparagraph"/>
                        <w:widowControl/>
                        <w:numPr>
                          <w:ilvl w:val="0"/>
                          <w:numId w:val="41"/>
                        </w:numPr>
                      </w:pPr>
                      <w:r w:rsidRPr="00F44F46">
                        <w:t>nuts</w:t>
                      </w:r>
                      <w:r>
                        <w:t xml:space="preserve"> in the shell</w:t>
                      </w:r>
                      <w:r w:rsidR="00A73373">
                        <w:t>;</w:t>
                      </w:r>
                    </w:p>
                    <w:p w:rsidR="00815F9A" w:rsidRPr="00815F9A" w:rsidRDefault="00815F9A" w:rsidP="00815F9A">
                      <w:pPr>
                        <w:pStyle w:val="Definition"/>
                        <w:widowControl/>
                        <w:numPr>
                          <w:ilvl w:val="0"/>
                          <w:numId w:val="41"/>
                        </w:numPr>
                      </w:pPr>
                      <w:r>
                        <w:t>live bivalve molluscs</w:t>
                      </w:r>
                      <w:r w:rsidR="00A73373">
                        <w:t>.</w:t>
                      </w:r>
                    </w:p>
                    <w:p w:rsidR="00164C54" w:rsidRPr="005325CE" w:rsidRDefault="00164C54" w:rsidP="005325CE">
                      <w:pPr>
                        <w:ind w:left="1440" w:hanging="720"/>
                      </w:pPr>
                    </w:p>
                  </w:txbxContent>
                </v:textbox>
                <w10:wrap type="square"/>
              </v:shape>
            </w:pict>
          </mc:Fallback>
        </mc:AlternateContent>
      </w:r>
    </w:p>
    <w:p w:rsidR="00164C54" w:rsidRDefault="00A56E7C" w:rsidP="00164C54">
      <w:r>
        <w:t>T</w:t>
      </w:r>
      <w:r w:rsidR="00164C54">
        <w:t xml:space="preserve">he definition for </w:t>
      </w:r>
      <w:r w:rsidR="00E7073F">
        <w:t>RTE</w:t>
      </w:r>
      <w:r w:rsidR="00164C54">
        <w:t xml:space="preserve"> food </w:t>
      </w:r>
      <w:r w:rsidR="00D20EA1">
        <w:t>excludes shelf-stable foods</w:t>
      </w:r>
      <w:r w:rsidR="00B557AA">
        <w:t>,</w:t>
      </w:r>
      <w:r w:rsidR="00D20EA1">
        <w:t xml:space="preserve"> </w:t>
      </w:r>
      <w:r w:rsidR="00270073">
        <w:t>whole raw fruits,</w:t>
      </w:r>
      <w:r w:rsidR="00902408">
        <w:t xml:space="preserve"> whole raw</w:t>
      </w:r>
      <w:r w:rsidR="00270073">
        <w:t xml:space="preserve"> </w:t>
      </w:r>
      <w:r w:rsidR="00D20EA1">
        <w:t>vegetables</w:t>
      </w:r>
      <w:r w:rsidR="00902408">
        <w:t>,</w:t>
      </w:r>
      <w:r w:rsidR="00D20EA1">
        <w:t xml:space="preserve"> nuts</w:t>
      </w:r>
      <w:r w:rsidR="00902408">
        <w:t xml:space="preserve"> in the </w:t>
      </w:r>
      <w:r w:rsidR="00902408" w:rsidRPr="00B21ACE">
        <w:t>shell</w:t>
      </w:r>
      <w:r w:rsidR="00D20EA1" w:rsidRPr="00B21ACE">
        <w:t xml:space="preserve"> and</w:t>
      </w:r>
      <w:r w:rsidR="006B7F07" w:rsidRPr="00B21ACE">
        <w:t xml:space="preserve"> live</w:t>
      </w:r>
      <w:r w:rsidR="00D20EA1" w:rsidRPr="00B21ACE">
        <w:t xml:space="preserve"> bivalve molluscs</w:t>
      </w:r>
      <w:r w:rsidR="00D20EA1">
        <w:t>.</w:t>
      </w:r>
    </w:p>
    <w:p w:rsidR="00500DCE" w:rsidRDefault="00500DCE" w:rsidP="00164C54"/>
    <w:p w:rsidR="00D20EA1" w:rsidRDefault="00ED5E80" w:rsidP="00164C54">
      <w:r w:rsidRPr="00C120A7">
        <w:rPr>
          <w:u w:val="single"/>
        </w:rPr>
        <w:t>Shelf-stable foods</w:t>
      </w:r>
      <w:r>
        <w:t xml:space="preserve"> are foods that have been processed so that they can be safely stored at ambient temperature. Such foods include canned </w:t>
      </w:r>
      <w:r w:rsidR="00CD4D07">
        <w:t xml:space="preserve">or retorted </w:t>
      </w:r>
      <w:r>
        <w:t xml:space="preserve">food, </w:t>
      </w:r>
      <w:r w:rsidR="00CD4D07">
        <w:t xml:space="preserve">bottled foods, </w:t>
      </w:r>
      <w:r>
        <w:t xml:space="preserve">cereals, </w:t>
      </w:r>
      <w:r w:rsidR="00380628">
        <w:t>biscuits, soft drink, sauces, confectionery, flour</w:t>
      </w:r>
      <w:r w:rsidR="00CD4D07">
        <w:t>,</w:t>
      </w:r>
      <w:r w:rsidR="00380628">
        <w:t xml:space="preserve"> sugar</w:t>
      </w:r>
      <w:r w:rsidR="00CD4D07">
        <w:t xml:space="preserve"> and dried foods</w:t>
      </w:r>
      <w:r w:rsidR="00380628">
        <w:t>.</w:t>
      </w:r>
      <w:r w:rsidR="008A67AB">
        <w:t xml:space="preserve"> </w:t>
      </w:r>
    </w:p>
    <w:p w:rsidR="00D20EA1" w:rsidRDefault="00D20EA1" w:rsidP="00164C54"/>
    <w:p w:rsidR="00836521" w:rsidRDefault="00270073" w:rsidP="00164C54">
      <w:r w:rsidRPr="00340C95">
        <w:rPr>
          <w:u w:val="single"/>
        </w:rPr>
        <w:t xml:space="preserve">Whole raw fruits, </w:t>
      </w:r>
      <w:r w:rsidR="00836521" w:rsidRPr="00340C95">
        <w:rPr>
          <w:u w:val="single"/>
        </w:rPr>
        <w:t xml:space="preserve">vegetables </w:t>
      </w:r>
      <w:r w:rsidRPr="00340C95">
        <w:rPr>
          <w:u w:val="single"/>
        </w:rPr>
        <w:t>and nuts in the shell</w:t>
      </w:r>
      <w:r>
        <w:t xml:space="preserve"> </w:t>
      </w:r>
      <w:r w:rsidR="008A67AB">
        <w:t xml:space="preserve">are </w:t>
      </w:r>
      <w:r w:rsidR="004373FE">
        <w:t xml:space="preserve">generally </w:t>
      </w:r>
      <w:r w:rsidR="008A67AB">
        <w:t xml:space="preserve">not considered </w:t>
      </w:r>
      <w:r w:rsidR="00B557AA">
        <w:t>RTE</w:t>
      </w:r>
      <w:r w:rsidR="008A67AB">
        <w:t xml:space="preserve"> foods as most are intended to undergo washing, hulling or peeling by the consumer. </w:t>
      </w:r>
      <w:r w:rsidR="00902408">
        <w:t xml:space="preserve">As these foods are raw agricultural commodities, the presence of </w:t>
      </w:r>
      <w:r w:rsidR="00902408" w:rsidRPr="006B7F07">
        <w:rPr>
          <w:i/>
        </w:rPr>
        <w:t>Listeria</w:t>
      </w:r>
      <w:r w:rsidR="00902408">
        <w:t xml:space="preserve"> species would not be unexpected and </w:t>
      </w:r>
      <w:r w:rsidR="004373FE">
        <w:t xml:space="preserve">testing for </w:t>
      </w:r>
      <w:r w:rsidR="004373FE" w:rsidRPr="004373FE">
        <w:rPr>
          <w:i/>
        </w:rPr>
        <w:t>L. monocytogenes</w:t>
      </w:r>
      <w:r w:rsidR="004373FE">
        <w:t xml:space="preserve"> is not useful</w:t>
      </w:r>
      <w:r w:rsidR="00524057">
        <w:t xml:space="preserve"> for regulatory purposes</w:t>
      </w:r>
      <w:r w:rsidR="004373FE">
        <w:t xml:space="preserve">. </w:t>
      </w:r>
      <w:r>
        <w:t>However r</w:t>
      </w:r>
      <w:r w:rsidR="008A67AB">
        <w:t xml:space="preserve">aw fruits and vegetables that have been washed and either peeled, cut, sliced or shredded prior to packaging </w:t>
      </w:r>
      <w:r w:rsidR="00447172">
        <w:t>may be</w:t>
      </w:r>
      <w:r>
        <w:t xml:space="preserve"> </w:t>
      </w:r>
      <w:r w:rsidR="00E85E7A">
        <w:t>considered to be ready-to-eat</w:t>
      </w:r>
      <w:r w:rsidR="004373FE">
        <w:t xml:space="preserve"> for the purposes of Standard 1.6.1</w:t>
      </w:r>
      <w:r w:rsidR="00E85E7A">
        <w:t xml:space="preserve"> unless they are </w:t>
      </w:r>
      <w:r>
        <w:t xml:space="preserve">intended to be </w:t>
      </w:r>
      <w:r w:rsidR="004373FE">
        <w:t>further processed</w:t>
      </w:r>
      <w:r>
        <w:t xml:space="preserve"> and </w:t>
      </w:r>
      <w:r w:rsidR="004373FE">
        <w:t xml:space="preserve">are </w:t>
      </w:r>
      <w:r w:rsidR="00447172">
        <w:t xml:space="preserve">sold with </w:t>
      </w:r>
      <w:r w:rsidR="00E85E7A">
        <w:t>cooking instructions on the pa</w:t>
      </w:r>
      <w:r>
        <w:t>ckage.</w:t>
      </w:r>
      <w:r w:rsidR="00E85E7A">
        <w:t xml:space="preserve"> </w:t>
      </w:r>
    </w:p>
    <w:p w:rsidR="00836521" w:rsidRDefault="00836521" w:rsidP="00164C54"/>
    <w:p w:rsidR="00836521" w:rsidRDefault="006B7F07" w:rsidP="00164C54">
      <w:r>
        <w:rPr>
          <w:u w:val="single"/>
        </w:rPr>
        <w:t>Live</w:t>
      </w:r>
      <w:r w:rsidR="00270073" w:rsidRPr="00C120A7">
        <w:rPr>
          <w:u w:val="single"/>
        </w:rPr>
        <w:t xml:space="preserve"> bivalve molluscs</w:t>
      </w:r>
      <w:r w:rsidR="00270073">
        <w:t xml:space="preserve"> </w:t>
      </w:r>
      <w:r w:rsidR="00524057">
        <w:t>not intended for further processing are products that remain alive immediately prior to consumption (the shellfish will close by themselves when tapped).</w:t>
      </w:r>
      <w:r w:rsidR="00DB2D34">
        <w:t xml:space="preserve"> As for whole raw fruits and vegetables, these are raw products exposed to the environment and as such testing for </w:t>
      </w:r>
      <w:r w:rsidR="00DB2D34" w:rsidRPr="00DB2D34">
        <w:rPr>
          <w:i/>
        </w:rPr>
        <w:t>L. monocytogenes</w:t>
      </w:r>
      <w:r w:rsidR="00DB2D34">
        <w:t xml:space="preserve"> is not useful for regulatory purposes.</w:t>
      </w:r>
    </w:p>
    <w:p w:rsidR="00097B58" w:rsidRDefault="00097B58" w:rsidP="00627B0A">
      <w:pPr>
        <w:pStyle w:val="FSBullet1"/>
        <w:numPr>
          <w:ilvl w:val="0"/>
          <w:numId w:val="0"/>
        </w:numPr>
      </w:pPr>
    </w:p>
    <w:p w:rsidR="00417B0E" w:rsidRPr="00A56E7C" w:rsidRDefault="00A56E7C" w:rsidP="00417B0E">
      <w:pPr>
        <w:rPr>
          <w:b/>
        </w:rPr>
      </w:pPr>
      <w:r w:rsidRPr="00A56E7C">
        <w:rPr>
          <w:b/>
        </w:rPr>
        <w:t>RTE foods in which growth will not occur</w:t>
      </w:r>
    </w:p>
    <w:p w:rsidR="00F40FD4" w:rsidRDefault="00F40FD4" w:rsidP="00D66FC4">
      <w:pPr>
        <w:rPr>
          <w:rFonts w:eastAsia="Calibri" w:cs="Times New Roman"/>
          <w:highlight w:val="yellow"/>
        </w:rPr>
      </w:pPr>
    </w:p>
    <w:p w:rsidR="00D66FC4" w:rsidRPr="008758D6" w:rsidRDefault="00D47C89" w:rsidP="00D66FC4">
      <w:pPr>
        <w:rPr>
          <w:rFonts w:eastAsia="Calibri" w:cs="Times New Roman"/>
        </w:rPr>
      </w:pPr>
      <w:r>
        <w:rPr>
          <w:rFonts w:eastAsia="Calibri" w:cs="Times New Roman"/>
        </w:rPr>
        <w:t>The Schedule to the standard specifies a limit of 100 cfu /g for r</w:t>
      </w:r>
      <w:r w:rsidRPr="00D47C89">
        <w:rPr>
          <w:rFonts w:eastAsia="Calibri" w:cs="Times New Roman"/>
        </w:rPr>
        <w:t>eady to eat food</w:t>
      </w:r>
      <w:r>
        <w:rPr>
          <w:rFonts w:eastAsia="Calibri" w:cs="Times New Roman"/>
        </w:rPr>
        <w:t>s</w:t>
      </w:r>
      <w:r w:rsidRPr="00D47C89">
        <w:rPr>
          <w:rFonts w:eastAsia="Calibri" w:cs="Times New Roman"/>
        </w:rPr>
        <w:t xml:space="preserve"> in </w:t>
      </w:r>
      <w:r>
        <w:rPr>
          <w:rFonts w:eastAsia="Calibri" w:cs="Times New Roman"/>
        </w:rPr>
        <w:t xml:space="preserve">which the growth of </w:t>
      </w:r>
      <w:r w:rsidRPr="00D47C89">
        <w:rPr>
          <w:rFonts w:eastAsia="Calibri" w:cs="Times New Roman"/>
          <w:i/>
        </w:rPr>
        <w:t>L. monocytogenes</w:t>
      </w:r>
      <w:r>
        <w:rPr>
          <w:rFonts w:eastAsia="Calibri" w:cs="Times New Roman"/>
        </w:rPr>
        <w:t xml:space="preserve"> will not occur. </w:t>
      </w:r>
      <w:r w:rsidRPr="00D47C89">
        <w:rPr>
          <w:rFonts w:eastAsia="Calibri" w:cs="Times New Roman"/>
        </w:rPr>
        <w:t xml:space="preserve"> </w:t>
      </w:r>
      <w:r w:rsidR="00D66FC4" w:rsidRPr="006D02E1">
        <w:rPr>
          <w:rFonts w:eastAsia="Calibri" w:cs="Times New Roman"/>
        </w:rPr>
        <w:t xml:space="preserve">Clause </w:t>
      </w:r>
      <w:r w:rsidR="0049578C" w:rsidRPr="006D02E1">
        <w:rPr>
          <w:rFonts w:eastAsia="Calibri" w:cs="Times New Roman"/>
        </w:rPr>
        <w:t>6</w:t>
      </w:r>
      <w:r w:rsidR="00D66FC4">
        <w:rPr>
          <w:rFonts w:eastAsia="Calibri" w:cs="Times New Roman"/>
        </w:rPr>
        <w:t xml:space="preserve"> of Standard</w:t>
      </w:r>
      <w:r w:rsidR="00F253DC">
        <w:rPr>
          <w:rFonts w:eastAsia="Calibri" w:cs="Times New Roman"/>
        </w:rPr>
        <w:t xml:space="preserve"> 1.6.1</w:t>
      </w:r>
      <w:r w:rsidR="00042C6D">
        <w:rPr>
          <w:rFonts w:eastAsia="Calibri" w:cs="Times New Roman"/>
        </w:rPr>
        <w:t xml:space="preserve"> </w:t>
      </w:r>
      <w:r w:rsidR="004A473F">
        <w:rPr>
          <w:rFonts w:eastAsia="Calibri" w:cs="Times New Roman"/>
        </w:rPr>
        <w:t xml:space="preserve">sets out </w:t>
      </w:r>
      <w:r w:rsidR="00C120A7">
        <w:rPr>
          <w:rFonts w:eastAsia="Calibri" w:cs="Times New Roman"/>
        </w:rPr>
        <w:t xml:space="preserve">the </w:t>
      </w:r>
      <w:r w:rsidR="00FC5AA2">
        <w:rPr>
          <w:rFonts w:eastAsia="Calibri" w:cs="Times New Roman"/>
        </w:rPr>
        <w:t>criteria</w:t>
      </w:r>
      <w:r w:rsidR="004A473F">
        <w:rPr>
          <w:rFonts w:eastAsia="Calibri" w:cs="Times New Roman"/>
        </w:rPr>
        <w:t xml:space="preserve"> </w:t>
      </w:r>
      <w:r>
        <w:rPr>
          <w:rFonts w:eastAsia="Calibri" w:cs="Times New Roman"/>
        </w:rPr>
        <w:t xml:space="preserve">against which RTE foods are considered not to support </w:t>
      </w:r>
      <w:r>
        <w:t>growth</w:t>
      </w:r>
      <w:r w:rsidR="00F43A9B">
        <w:t xml:space="preserve"> for the purposes of applying the limits specified in the Schedule</w:t>
      </w:r>
      <w:r w:rsidR="00C120A7">
        <w:t>:</w:t>
      </w:r>
      <w:r>
        <w:t xml:space="preserve"> </w:t>
      </w:r>
    </w:p>
    <w:p w:rsidR="00241F99" w:rsidRDefault="006E184F" w:rsidP="00D66FC4">
      <w:pPr>
        <w:rPr>
          <w:sz w:val="20"/>
          <w:szCs w:val="20"/>
        </w:rPr>
      </w:pPr>
      <w:r>
        <w:rPr>
          <w:noProof/>
          <w:lang w:eastAsia="en-GB"/>
        </w:rPr>
        <mc:AlternateContent>
          <mc:Choice Requires="wps">
            <w:drawing>
              <wp:anchor distT="0" distB="0" distL="114300" distR="114300" simplePos="0" relativeHeight="251661312" behindDoc="0" locked="0" layoutInCell="1" allowOverlap="1" wp14:anchorId="382FE1B3" wp14:editId="1FF2630D">
                <wp:simplePos x="0" y="0"/>
                <wp:positionH relativeFrom="column">
                  <wp:posOffset>4445</wp:posOffset>
                </wp:positionH>
                <wp:positionV relativeFrom="paragraph">
                  <wp:posOffset>164465</wp:posOffset>
                </wp:positionV>
                <wp:extent cx="5524500" cy="282892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524500" cy="2828925"/>
                        </a:xfrm>
                        <a:prstGeom prst="rect">
                          <a:avLst/>
                        </a:prstGeom>
                        <a:solidFill>
                          <a:schemeClr val="bg1">
                            <a:lumMod val="95000"/>
                          </a:schemeClr>
                        </a:solidFill>
                        <a:ln w="6350">
                          <a:solidFill>
                            <a:prstClr val="black"/>
                          </a:solidFill>
                        </a:ln>
                        <a:effectLst/>
                      </wps:spPr>
                      <wps:txbx>
                        <w:txbxContent>
                          <w:p w:rsidR="006E184F" w:rsidRPr="006E184F" w:rsidRDefault="006E184F" w:rsidP="006E184F">
                            <w:pPr>
                              <w:widowControl w:val="0"/>
                              <w:tabs>
                                <w:tab w:val="left" w:pos="851"/>
                              </w:tabs>
                              <w:rPr>
                                <w:rFonts w:eastAsia="Times New Roman" w:cs="Times New Roman"/>
                                <w:b/>
                                <w:sz w:val="20"/>
                                <w:szCs w:val="20"/>
                              </w:rPr>
                            </w:pPr>
                            <w:r w:rsidRPr="006E184F">
                              <w:rPr>
                                <w:rFonts w:eastAsia="Times New Roman" w:cs="Times New Roman"/>
                                <w:b/>
                                <w:sz w:val="20"/>
                                <w:szCs w:val="20"/>
                              </w:rPr>
                              <w:t>6</w:t>
                            </w:r>
                            <w:r w:rsidRPr="006E184F">
                              <w:rPr>
                                <w:rFonts w:eastAsia="Times New Roman" w:cs="Times New Roman"/>
                                <w:b/>
                                <w:sz w:val="20"/>
                                <w:szCs w:val="20"/>
                              </w:rPr>
                              <w:tab/>
                              <w:t xml:space="preserve">Food in which the growth of </w:t>
                            </w:r>
                            <w:r w:rsidRPr="006E184F">
                              <w:rPr>
                                <w:rFonts w:eastAsia="Times New Roman" w:cs="Times New Roman"/>
                                <w:b/>
                                <w:i/>
                                <w:sz w:val="20"/>
                                <w:szCs w:val="20"/>
                              </w:rPr>
                              <w:t xml:space="preserve">Listeria monocytogenes </w:t>
                            </w:r>
                            <w:r w:rsidRPr="006E184F">
                              <w:rPr>
                                <w:rFonts w:eastAsia="Times New Roman" w:cs="Times New Roman"/>
                                <w:b/>
                                <w:sz w:val="20"/>
                                <w:szCs w:val="20"/>
                              </w:rPr>
                              <w:t>will not occur</w:t>
                            </w:r>
                          </w:p>
                          <w:p w:rsidR="006E184F" w:rsidRPr="006E184F" w:rsidRDefault="006E184F" w:rsidP="006E184F">
                            <w:pPr>
                              <w:widowControl w:val="0"/>
                              <w:rPr>
                                <w:rFonts w:eastAsia="Times New Roman" w:cs="Times New Roman"/>
                                <w:sz w:val="20"/>
                                <w:szCs w:val="20"/>
                              </w:rPr>
                            </w:pPr>
                          </w:p>
                          <w:p w:rsidR="006E184F" w:rsidRPr="006E184F" w:rsidRDefault="006E184F" w:rsidP="006E184F">
                            <w:pPr>
                              <w:widowControl w:val="0"/>
                              <w:ind w:left="567" w:hanging="567"/>
                              <w:rPr>
                                <w:rFonts w:eastAsia="Times New Roman" w:cs="Times New Roman"/>
                                <w:sz w:val="20"/>
                                <w:szCs w:val="20"/>
                              </w:rPr>
                            </w:pPr>
                            <w:r w:rsidRPr="006E184F">
                              <w:rPr>
                                <w:rFonts w:eastAsia="Times New Roman" w:cs="Times New Roman"/>
                                <w:sz w:val="20"/>
                                <w:szCs w:val="20"/>
                              </w:rPr>
                              <w:t>(1)</w:t>
                            </w:r>
                            <w:r w:rsidRPr="006E184F">
                              <w:rPr>
                                <w:rFonts w:eastAsia="Times New Roman" w:cs="Times New Roman"/>
                                <w:sz w:val="20"/>
                                <w:szCs w:val="20"/>
                              </w:rPr>
                              <w:tab/>
                              <w:t xml:space="preserve">For the purposes of the Schedule, the growth of </w:t>
                            </w:r>
                            <w:r w:rsidRPr="006E184F">
                              <w:rPr>
                                <w:rFonts w:eastAsia="Times New Roman" w:cs="Times New Roman"/>
                                <w:i/>
                                <w:sz w:val="20"/>
                                <w:szCs w:val="20"/>
                              </w:rPr>
                              <w:t>Listeria monocytogenes</w:t>
                            </w:r>
                            <w:r w:rsidR="00241F99">
                              <w:rPr>
                                <w:rFonts w:eastAsia="Times New Roman" w:cs="Times New Roman"/>
                                <w:sz w:val="20"/>
                                <w:szCs w:val="20"/>
                              </w:rPr>
                              <w:t xml:space="preserve"> will not occur in a ready-to-</w:t>
                            </w:r>
                            <w:r w:rsidRPr="006E184F">
                              <w:rPr>
                                <w:rFonts w:eastAsia="Times New Roman" w:cs="Times New Roman"/>
                                <w:sz w:val="20"/>
                                <w:szCs w:val="20"/>
                              </w:rPr>
                              <w:t>eat food if –</w:t>
                            </w:r>
                          </w:p>
                          <w:p w:rsidR="006E184F" w:rsidRPr="006E184F" w:rsidRDefault="006E184F" w:rsidP="006E184F">
                            <w:pPr>
                              <w:widowControl w:val="0"/>
                              <w:rPr>
                                <w:rFonts w:eastAsia="Times New Roman" w:cs="Times New Roman"/>
                                <w:sz w:val="20"/>
                                <w:szCs w:val="20"/>
                              </w:rPr>
                            </w:pP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(a)</w:t>
                            </w:r>
                            <w:r w:rsidRPr="006E184F">
                              <w:rPr>
                                <w:rFonts w:eastAsia="Times New Roman" w:cs="Times New Roman"/>
                                <w:sz w:val="20"/>
                                <w:szCs w:val="20"/>
                              </w:rPr>
                              <w:tab/>
                              <w:t>the food has a pH less than 4.4 regardless of water activity;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(b)</w:t>
                            </w:r>
                            <w:r w:rsidRPr="006E184F">
                              <w:rPr>
                                <w:rFonts w:eastAsia="Times New Roman" w:cs="Times New Roman"/>
                                <w:sz w:val="20"/>
                                <w:szCs w:val="20"/>
                              </w:rPr>
                              <w:tab/>
                              <w:t>the food has a water activity less than 0.92 regardless of pH;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(c)</w:t>
                            </w:r>
                            <w:r w:rsidRPr="006E184F">
                              <w:rPr>
                                <w:rFonts w:eastAsia="Times New Roman" w:cs="Times New Roman"/>
                                <w:sz w:val="20"/>
                                <w:szCs w:val="20"/>
                              </w:rPr>
                              <w:tab/>
                              <w:t>the food has a pH less than 5.0 in combination with a water activity of less than 0.94;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(d)</w:t>
                            </w:r>
                            <w:r w:rsidRPr="006E184F">
                              <w:rPr>
                                <w:rFonts w:eastAsia="Times New Roman" w:cs="Times New Roman"/>
                                <w:sz w:val="20"/>
                                <w:szCs w:val="20"/>
                              </w:rPr>
                              <w:tab/>
                              <w:t>the food has a refrigerated shelf life of no greater than 5 days;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(e)</w:t>
                            </w:r>
                            <w:r w:rsidRPr="006E184F">
                              <w:rPr>
                                <w:rFonts w:eastAsia="Times New Roman" w:cs="Times New Roman"/>
                                <w:sz w:val="20"/>
                                <w:szCs w:val="20"/>
                              </w:rPr>
                              <w:tab/>
                              <w:t xml:space="preserve">the food is frozen (including foods consumed frozen and those intended to be thawed </w:t>
                            </w:r>
                            <w:r w:rsidR="00447172">
                              <w:rPr>
                                <w:rFonts w:eastAsia="Times New Roman" w:cs="Times New Roman"/>
                                <w:sz w:val="20"/>
                                <w:szCs w:val="20"/>
                              </w:rPr>
                              <w:t>immediately before</w:t>
                            </w:r>
                            <w:r w:rsidRPr="006E184F">
                              <w:rPr>
                                <w:rFonts w:eastAsia="Times New Roman" w:cs="Times New Roman"/>
                                <w:sz w:val="20"/>
                                <w:szCs w:val="20"/>
                              </w:rPr>
                              <w:t xml:space="preserve"> consumption);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 xml:space="preserve"> (f)</w:t>
                            </w:r>
                            <w:r w:rsidRPr="006E184F">
                              <w:rPr>
                                <w:rFonts w:eastAsia="Times New Roman" w:cs="Times New Roman"/>
                                <w:sz w:val="20"/>
                                <w:szCs w:val="20"/>
                              </w:rPr>
                              <w:tab/>
                              <w:t xml:space="preserve">the level of </w:t>
                            </w:r>
                            <w:r w:rsidRPr="006E184F">
                              <w:rPr>
                                <w:rFonts w:eastAsia="Times New Roman" w:cs="Times New Roman"/>
                                <w:i/>
                                <w:sz w:val="20"/>
                                <w:szCs w:val="20"/>
                              </w:rPr>
                              <w:t>Listeria monocytogenes</w:t>
                            </w:r>
                            <w:r w:rsidRPr="006E184F">
                              <w:rPr>
                                <w:rFonts w:eastAsia="Times New Roman" w:cs="Times New Roman"/>
                                <w:sz w:val="20"/>
                                <w:szCs w:val="20"/>
                              </w:rPr>
                              <w:t xml:space="preserve"> will not increase by greater than 0.5 log cfu/g for at least the expected shelf life.</w:t>
                            </w:r>
                          </w:p>
                          <w:p w:rsidR="006E184F" w:rsidRPr="006E184F" w:rsidRDefault="006E184F" w:rsidP="006E184F">
                            <w:pPr>
                              <w:rPr>
                                <w:rFonts w:eastAsia="Calibri" w:cs="Times New Roman"/>
                                <w:sz w:val="20"/>
                                <w:szCs w:val="20"/>
                              </w:rPr>
                            </w:pPr>
                          </w:p>
                          <w:p w:rsidR="006E184F" w:rsidRPr="006E184F" w:rsidRDefault="006E184F" w:rsidP="006E184F">
                            <w:pPr>
                              <w:ind w:left="567" w:hanging="567"/>
                              <w:rPr>
                                <w:rFonts w:eastAsia="Calibri" w:cs="Times New Roman"/>
                                <w:sz w:val="20"/>
                                <w:szCs w:val="20"/>
                              </w:rPr>
                            </w:pPr>
                            <w:r w:rsidRPr="006E184F">
                              <w:rPr>
                                <w:rFonts w:eastAsia="Calibri" w:cs="Times New Roman"/>
                                <w:sz w:val="20"/>
                                <w:szCs w:val="20"/>
                              </w:rPr>
                              <w:t>(2)</w:t>
                            </w:r>
                            <w:r w:rsidRPr="006E184F">
                              <w:rPr>
                                <w:rFonts w:eastAsia="Calibri" w:cs="Times New Roman"/>
                                <w:sz w:val="20"/>
                                <w:szCs w:val="20"/>
                              </w:rPr>
                              <w:tab/>
                              <w:t xml:space="preserve">A ready-to-eat food that does not receive a listericidal process during manufacture is considered as a food in which the growth of </w:t>
                            </w:r>
                            <w:r w:rsidRPr="006E184F">
                              <w:rPr>
                                <w:rFonts w:eastAsia="Calibri" w:cs="Times New Roman"/>
                                <w:i/>
                                <w:sz w:val="20"/>
                                <w:szCs w:val="20"/>
                              </w:rPr>
                              <w:t>Listeria monocytogenes</w:t>
                            </w:r>
                            <w:r w:rsidRPr="006E184F">
                              <w:rPr>
                                <w:rFonts w:eastAsia="Calibri" w:cs="Times New Roman"/>
                                <w:sz w:val="20"/>
                                <w:szCs w:val="20"/>
                              </w:rPr>
                              <w:t xml:space="preserve"> will not occur if the level of </w:t>
                            </w:r>
                            <w:r w:rsidRPr="006E184F">
                              <w:rPr>
                                <w:rFonts w:eastAsia="Calibri" w:cs="Times New Roman"/>
                                <w:i/>
                                <w:sz w:val="20"/>
                                <w:szCs w:val="20"/>
                              </w:rPr>
                              <w:t>Listeria monocytogenes</w:t>
                            </w:r>
                            <w:r w:rsidRPr="006E184F">
                              <w:rPr>
                                <w:rFonts w:eastAsia="Calibri" w:cs="Times New Roman"/>
                                <w:sz w:val="20"/>
                                <w:szCs w:val="20"/>
                              </w:rPr>
                              <w:t xml:space="preserve"> will not exceed 100 cfu/g within the expected shelf life.</w:t>
                            </w:r>
                          </w:p>
                          <w:p w:rsidR="00164C54" w:rsidRPr="00C275BA" w:rsidRDefault="00164C54" w:rsidP="00A56E7C">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5pt;margin-top:12.95pt;width:435pt;height:2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" fillcolor="#f2f2f2 [3052]" strokeweight=".5pt">
                <v:textbox>
                  <w:txbxContent>
                    <w:p w:rsidR="006E184F" w:rsidRPr="006E184F" w:rsidRDefault="006E184F" w:rsidP="006E184F">
                      <w:pPr>
                        <w:widowControl w:val="0"/>
                        <w:tabs>
                          <w:tab w:val="left" w:pos="851"/>
                        </w:tabs>
                        <w:rPr>
                          <w:rFonts w:eastAsia="Times New Roman" w:cs="Times New Roman"/>
                          <w:b/>
                          <w:sz w:val="20"/>
                          <w:szCs w:val="20"/>
                        </w:rPr>
                      </w:pPr>
                      <w:r w:rsidRPr="006E184F">
                        <w:rPr>
                          <w:rFonts w:eastAsia="Times New Roman" w:cs="Times New Roman"/>
                          <w:b/>
                          <w:sz w:val="20"/>
                          <w:szCs w:val="20"/>
                        </w:rPr>
                        <w:t>6</w:t>
                      </w:r>
                      <w:r w:rsidRPr="006E184F">
                        <w:rPr>
                          <w:rFonts w:eastAsia="Times New Roman" w:cs="Times New Roman"/>
                          <w:b/>
                          <w:sz w:val="20"/>
                          <w:szCs w:val="20"/>
                        </w:rPr>
                        <w:tab/>
                        <w:t xml:space="preserve">Food in which the growth of </w:t>
                      </w:r>
                      <w:r w:rsidRPr="006E184F">
                        <w:rPr>
                          <w:rFonts w:eastAsia="Times New Roman" w:cs="Times New Roman"/>
                          <w:b/>
                          <w:i/>
                          <w:sz w:val="20"/>
                          <w:szCs w:val="20"/>
                        </w:rPr>
                        <w:t xml:space="preserve">Listeria monocytogenes </w:t>
                      </w:r>
                      <w:r w:rsidRPr="006E184F">
                        <w:rPr>
                          <w:rFonts w:eastAsia="Times New Roman" w:cs="Times New Roman"/>
                          <w:b/>
                          <w:sz w:val="20"/>
                          <w:szCs w:val="20"/>
                        </w:rPr>
                        <w:t>will not occur</w:t>
                      </w:r>
                    </w:p>
                    <w:p w:rsidR="006E184F" w:rsidRPr="006E184F" w:rsidRDefault="006E184F" w:rsidP="006E184F">
                      <w:pPr>
                        <w:widowControl w:val="0"/>
                        <w:rPr>
                          <w:rFonts w:eastAsia="Times New Roman" w:cs="Times New Roman"/>
                          <w:sz w:val="20"/>
                          <w:szCs w:val="20"/>
                        </w:rPr>
                      </w:pPr>
                    </w:p>
                    <w:p w:rsidR="006E184F" w:rsidRPr="006E184F" w:rsidRDefault="006E184F" w:rsidP="006E184F">
                      <w:pPr>
                        <w:widowControl w:val="0"/>
                        <w:ind w:left="567" w:hanging="567"/>
                        <w:rPr>
                          <w:rFonts w:eastAsia="Times New Roman" w:cs="Times New Roman"/>
                          <w:sz w:val="20"/>
                          <w:szCs w:val="20"/>
                        </w:rPr>
                      </w:pPr>
                      <w:r w:rsidRPr="006E184F">
                        <w:rPr>
                          <w:rFonts w:eastAsia="Times New Roman" w:cs="Times New Roman"/>
                          <w:sz w:val="20"/>
                          <w:szCs w:val="20"/>
                        </w:rPr>
                        <w:t>(1)</w:t>
                      </w:r>
                      <w:r w:rsidRPr="006E184F">
                        <w:rPr>
                          <w:rFonts w:eastAsia="Times New Roman" w:cs="Times New Roman"/>
                          <w:sz w:val="20"/>
                          <w:szCs w:val="20"/>
                        </w:rPr>
                        <w:tab/>
                        <w:t xml:space="preserve">For the purposes of the Schedule, the growth of </w:t>
                      </w:r>
                      <w:r w:rsidRPr="006E184F">
                        <w:rPr>
                          <w:rFonts w:eastAsia="Times New Roman" w:cs="Times New Roman"/>
                          <w:i/>
                          <w:sz w:val="20"/>
                          <w:szCs w:val="20"/>
                        </w:rPr>
                        <w:t>Listeria monocytogenes</w:t>
                      </w:r>
                      <w:r w:rsidR="00241F99">
                        <w:rPr>
                          <w:rFonts w:eastAsia="Times New Roman" w:cs="Times New Roman"/>
                          <w:sz w:val="20"/>
                          <w:szCs w:val="20"/>
                        </w:rPr>
                        <w:t xml:space="preserve"> will not occur in a ready-to-</w:t>
                      </w:r>
                      <w:r w:rsidRPr="006E184F">
                        <w:rPr>
                          <w:rFonts w:eastAsia="Times New Roman" w:cs="Times New Roman"/>
                          <w:sz w:val="20"/>
                          <w:szCs w:val="20"/>
                        </w:rPr>
                        <w:t>eat food if –</w:t>
                      </w:r>
                    </w:p>
                    <w:p w:rsidR="006E184F" w:rsidRPr="006E184F" w:rsidRDefault="006E184F" w:rsidP="006E184F">
                      <w:pPr>
                        <w:widowControl w:val="0"/>
                        <w:rPr>
                          <w:rFonts w:eastAsia="Times New Roman" w:cs="Times New Roman"/>
                          <w:sz w:val="20"/>
                          <w:szCs w:val="20"/>
                        </w:rPr>
                      </w:pP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(a)</w:t>
                      </w:r>
                      <w:r w:rsidRPr="006E184F">
                        <w:rPr>
                          <w:rFonts w:eastAsia="Times New Roman" w:cs="Times New Roman"/>
                          <w:sz w:val="20"/>
                          <w:szCs w:val="20"/>
                        </w:rPr>
                        <w:tab/>
                        <w:t>the food has a pH less than 4.4 regardless of water activity;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(b)</w:t>
                      </w:r>
                      <w:r w:rsidRPr="006E184F">
                        <w:rPr>
                          <w:rFonts w:eastAsia="Times New Roman" w:cs="Times New Roman"/>
                          <w:sz w:val="20"/>
                          <w:szCs w:val="20"/>
                        </w:rPr>
                        <w:tab/>
                        <w:t>the food has a water activity less than 0.92 regardless of pH;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(c)</w:t>
                      </w:r>
                      <w:r w:rsidRPr="006E184F">
                        <w:rPr>
                          <w:rFonts w:eastAsia="Times New Roman" w:cs="Times New Roman"/>
                          <w:sz w:val="20"/>
                          <w:szCs w:val="20"/>
                        </w:rPr>
                        <w:tab/>
                        <w:t>the food has a pH less than 5.0 in combination with a water activity of less than 0.94;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(d)</w:t>
                      </w:r>
                      <w:r w:rsidRPr="006E184F">
                        <w:rPr>
                          <w:rFonts w:eastAsia="Times New Roman" w:cs="Times New Roman"/>
                          <w:sz w:val="20"/>
                          <w:szCs w:val="20"/>
                        </w:rPr>
                        <w:tab/>
                        <w:t>the food has a refrigerated shelf life of no greater than 5 days;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(e)</w:t>
                      </w:r>
                      <w:r w:rsidRPr="006E184F">
                        <w:rPr>
                          <w:rFonts w:eastAsia="Times New Roman" w:cs="Times New Roman"/>
                          <w:sz w:val="20"/>
                          <w:szCs w:val="20"/>
                        </w:rPr>
                        <w:tab/>
                        <w:t xml:space="preserve">the food is frozen (including foods consumed frozen and those intended to be thawed </w:t>
                      </w:r>
                      <w:r w:rsidR="00447172">
                        <w:rPr>
                          <w:rFonts w:eastAsia="Times New Roman" w:cs="Times New Roman"/>
                          <w:sz w:val="20"/>
                          <w:szCs w:val="20"/>
                        </w:rPr>
                        <w:t>immediately before</w:t>
                      </w:r>
                      <w:r w:rsidRPr="006E184F">
                        <w:rPr>
                          <w:rFonts w:eastAsia="Times New Roman" w:cs="Times New Roman"/>
                          <w:sz w:val="20"/>
                          <w:szCs w:val="20"/>
                        </w:rPr>
                        <w:t xml:space="preserve"> consumption); or</w:t>
                      </w:r>
                    </w:p>
                    <w:p w:rsidR="006E184F" w:rsidRPr="006E184F" w:rsidRDefault="006E184F" w:rsidP="006E184F">
                      <w:pPr>
                        <w:widowControl w:val="0"/>
                        <w:ind w:left="1702" w:hanging="851"/>
                        <w:rPr>
                          <w:rFonts w:eastAsia="Times New Roman" w:cs="Times New Roman"/>
                          <w:sz w:val="20"/>
                          <w:szCs w:val="20"/>
                        </w:rPr>
                      </w:pPr>
                      <w:r w:rsidRPr="006E184F">
                        <w:rPr>
                          <w:rFonts w:eastAsia="Times New Roman" w:cs="Times New Roman"/>
                          <w:sz w:val="20"/>
                          <w:szCs w:val="20"/>
                        </w:rPr>
                        <w:t xml:space="preserve"> (f)</w:t>
                      </w:r>
                      <w:r w:rsidRPr="006E184F">
                        <w:rPr>
                          <w:rFonts w:eastAsia="Times New Roman" w:cs="Times New Roman"/>
                          <w:sz w:val="20"/>
                          <w:szCs w:val="20"/>
                        </w:rPr>
                        <w:tab/>
                        <w:t xml:space="preserve">the level of </w:t>
                      </w:r>
                      <w:r w:rsidRPr="006E184F">
                        <w:rPr>
                          <w:rFonts w:eastAsia="Times New Roman" w:cs="Times New Roman"/>
                          <w:i/>
                          <w:sz w:val="20"/>
                          <w:szCs w:val="20"/>
                        </w:rPr>
                        <w:t>Listeria monocytogenes</w:t>
                      </w:r>
                      <w:r w:rsidRPr="006E184F">
                        <w:rPr>
                          <w:rFonts w:eastAsia="Times New Roman" w:cs="Times New Roman"/>
                          <w:sz w:val="20"/>
                          <w:szCs w:val="20"/>
                        </w:rPr>
                        <w:t xml:space="preserve"> will not increase by greater than 0.5 log cfu/g for at least the expected shelf life.</w:t>
                      </w:r>
                    </w:p>
                    <w:p w:rsidR="006E184F" w:rsidRPr="006E184F" w:rsidRDefault="006E184F" w:rsidP="006E184F">
                      <w:pPr>
                        <w:rPr>
                          <w:rFonts w:eastAsia="Calibri" w:cs="Times New Roman"/>
                          <w:sz w:val="20"/>
                          <w:szCs w:val="20"/>
                        </w:rPr>
                      </w:pPr>
                    </w:p>
                    <w:p w:rsidR="006E184F" w:rsidRPr="006E184F" w:rsidRDefault="006E184F" w:rsidP="006E184F">
                      <w:pPr>
                        <w:ind w:left="567" w:hanging="567"/>
                        <w:rPr>
                          <w:rFonts w:eastAsia="Calibri" w:cs="Times New Roman"/>
                          <w:sz w:val="20"/>
                          <w:szCs w:val="20"/>
                        </w:rPr>
                      </w:pPr>
                      <w:r w:rsidRPr="006E184F">
                        <w:rPr>
                          <w:rFonts w:eastAsia="Calibri" w:cs="Times New Roman"/>
                          <w:sz w:val="20"/>
                          <w:szCs w:val="20"/>
                        </w:rPr>
                        <w:t>(2)</w:t>
                      </w:r>
                      <w:r w:rsidRPr="006E184F">
                        <w:rPr>
                          <w:rFonts w:eastAsia="Calibri" w:cs="Times New Roman"/>
                          <w:sz w:val="20"/>
                          <w:szCs w:val="20"/>
                        </w:rPr>
                        <w:tab/>
                        <w:t xml:space="preserve">A ready-to-eat food that does not receive a listericidal process during manufacture is considered as a food in which the growth of </w:t>
                      </w:r>
                      <w:r w:rsidRPr="006E184F">
                        <w:rPr>
                          <w:rFonts w:eastAsia="Calibri" w:cs="Times New Roman"/>
                          <w:i/>
                          <w:sz w:val="20"/>
                          <w:szCs w:val="20"/>
                        </w:rPr>
                        <w:t>Listeria monocytogenes</w:t>
                      </w:r>
                      <w:r w:rsidRPr="006E184F">
                        <w:rPr>
                          <w:rFonts w:eastAsia="Calibri" w:cs="Times New Roman"/>
                          <w:sz w:val="20"/>
                          <w:szCs w:val="20"/>
                        </w:rPr>
                        <w:t xml:space="preserve"> will not occur if the level of </w:t>
                      </w:r>
                      <w:r w:rsidRPr="006E184F">
                        <w:rPr>
                          <w:rFonts w:eastAsia="Calibri" w:cs="Times New Roman"/>
                          <w:i/>
                          <w:sz w:val="20"/>
                          <w:szCs w:val="20"/>
                        </w:rPr>
                        <w:t>Listeria monocytogenes</w:t>
                      </w:r>
                      <w:r w:rsidRPr="006E184F">
                        <w:rPr>
                          <w:rFonts w:eastAsia="Calibri" w:cs="Times New Roman"/>
                          <w:sz w:val="20"/>
                          <w:szCs w:val="20"/>
                        </w:rPr>
                        <w:t xml:space="preserve"> will not exceed 100 cfu/g within the expected shelf life.</w:t>
                      </w:r>
                    </w:p>
                    <w:p w:rsidR="00164C54" w:rsidRPr="00C275BA" w:rsidRDefault="00164C54" w:rsidP="00A56E7C">
                      <w:pPr>
                        <w:contextualSpacing/>
                      </w:pPr>
                    </w:p>
                  </w:txbxContent>
                </v:textbox>
                <w10:wrap type="square"/>
              </v:shape>
            </w:pict>
          </mc:Fallback>
        </mc:AlternateContent>
      </w:r>
      <w:r w:rsidR="00241F99">
        <w:rPr>
          <w:sz w:val="20"/>
          <w:szCs w:val="20"/>
        </w:rPr>
        <w:br w:type="page"/>
      </w:r>
    </w:p>
    <w:p w:rsidR="009C7166" w:rsidRDefault="00C120A7" w:rsidP="003F7FD5">
      <w:r>
        <w:rPr>
          <w:rFonts w:eastAsia="Calibri" w:cs="Times New Roman"/>
        </w:rPr>
        <w:lastRenderedPageBreak/>
        <w:t>Subclause 6(1) identifies a number of parameters relating to the chemical and physical characteristics of a food</w:t>
      </w:r>
      <w:r w:rsidR="00F43A9B">
        <w:rPr>
          <w:rFonts w:eastAsia="Calibri" w:cs="Times New Roman"/>
        </w:rPr>
        <w:t>,</w:t>
      </w:r>
      <w:r>
        <w:rPr>
          <w:rFonts w:eastAsia="Calibri" w:cs="Times New Roman"/>
        </w:rPr>
        <w:t xml:space="preserve"> as well as shelf life considerations</w:t>
      </w:r>
      <w:r w:rsidR="00F43A9B">
        <w:rPr>
          <w:rFonts w:eastAsia="Calibri" w:cs="Times New Roman"/>
        </w:rPr>
        <w:t xml:space="preserve">, against which </w:t>
      </w:r>
      <w:r w:rsidR="00702E10">
        <w:rPr>
          <w:rFonts w:eastAsia="Calibri" w:cs="Times New Roman"/>
        </w:rPr>
        <w:t xml:space="preserve">a RTE food is considered as one in which </w:t>
      </w:r>
      <w:r w:rsidR="00F43A9B">
        <w:rPr>
          <w:rFonts w:eastAsia="Calibri" w:cs="Times New Roman"/>
        </w:rPr>
        <w:t>growth will not occur</w:t>
      </w:r>
      <w:r>
        <w:rPr>
          <w:rFonts w:eastAsia="Calibri" w:cs="Times New Roman"/>
        </w:rPr>
        <w:t xml:space="preserve">.  </w:t>
      </w:r>
    </w:p>
    <w:p w:rsidR="009C7166" w:rsidRDefault="009C7166" w:rsidP="003F7FD5"/>
    <w:p w:rsidR="000222C3" w:rsidRDefault="00702E10" w:rsidP="003F7FD5">
      <w:r>
        <w:t xml:space="preserve">Paragraph 6(1)(f) </w:t>
      </w:r>
      <w:r w:rsidR="008A66B4">
        <w:t xml:space="preserve">provides for alternative </w:t>
      </w:r>
      <w:r w:rsidR="007A6608">
        <w:t>processing factors</w:t>
      </w:r>
      <w:r w:rsidR="008A66B4">
        <w:t xml:space="preserve"> to be considered and validated by providing an overall</w:t>
      </w:r>
      <w:r>
        <w:t xml:space="preserve"> </w:t>
      </w:r>
      <w:r w:rsidR="008A66B4">
        <w:t xml:space="preserve">outcome that must be achieved i.e. </w:t>
      </w:r>
      <w:r w:rsidR="008A66B4" w:rsidRPr="008A66B4">
        <w:rPr>
          <w:b/>
        </w:rPr>
        <w:t xml:space="preserve">the level of </w:t>
      </w:r>
      <w:r w:rsidR="008A66B4" w:rsidRPr="008A66B4">
        <w:rPr>
          <w:b/>
          <w:i/>
        </w:rPr>
        <w:t>Listeria monocytogenes</w:t>
      </w:r>
      <w:r w:rsidR="008A66B4" w:rsidRPr="008A66B4">
        <w:rPr>
          <w:b/>
        </w:rPr>
        <w:t xml:space="preserve"> will not increase by greater than 0.5 log cfu/g for at least the expected shelf life</w:t>
      </w:r>
      <w:r w:rsidR="008A66B4">
        <w:t xml:space="preserve">. For the purposes of this </w:t>
      </w:r>
      <w:r w:rsidR="00A36010">
        <w:t xml:space="preserve">guidance </w:t>
      </w:r>
      <w:r w:rsidR="008A66B4">
        <w:t>document, growth and shelf life can be defined</w:t>
      </w:r>
      <w:r w:rsidR="00081338">
        <w:t xml:space="preserve"> as follows:</w:t>
      </w:r>
    </w:p>
    <w:p w:rsidR="000222C3" w:rsidRDefault="000222C3" w:rsidP="003F7FD5"/>
    <w:p w:rsidR="003F7FD5" w:rsidRDefault="000222C3" w:rsidP="00D66FC4">
      <w:r w:rsidRPr="00F43A9B">
        <w:rPr>
          <w:u w:val="single"/>
        </w:rPr>
        <w:t>Growth</w:t>
      </w:r>
      <w:r>
        <w:t xml:space="preserve"> – Greater than an average of 0.5 log cfu/g increase in </w:t>
      </w:r>
      <w:r w:rsidRPr="002228D6">
        <w:rPr>
          <w:i/>
        </w:rPr>
        <w:t>L. monocytogenes</w:t>
      </w:r>
      <w:r>
        <w:t xml:space="preserve"> levels for at least the stated shelf life of the product</w:t>
      </w:r>
      <w:r w:rsidR="008C4085">
        <w:rPr>
          <w:rStyle w:val="FootnoteReference"/>
        </w:rPr>
        <w:footnoteReference w:id="2"/>
      </w:r>
      <w:r>
        <w:t xml:space="preserve">. </w:t>
      </w:r>
    </w:p>
    <w:p w:rsidR="003E157A" w:rsidRPr="00081338" w:rsidRDefault="003E157A" w:rsidP="00D66FC4"/>
    <w:p w:rsidR="000222C3" w:rsidRDefault="00A21074" w:rsidP="000222C3">
      <w:r w:rsidRPr="00F43A9B">
        <w:rPr>
          <w:u w:val="single"/>
        </w:rPr>
        <w:t xml:space="preserve">Expected </w:t>
      </w:r>
      <w:r w:rsidR="000222C3" w:rsidRPr="00F43A9B">
        <w:rPr>
          <w:u w:val="single"/>
        </w:rPr>
        <w:t>shelf life</w:t>
      </w:r>
      <w:r w:rsidR="000222C3">
        <w:t xml:space="preserve"> – The period of time established </w:t>
      </w:r>
      <w:r w:rsidR="00081338">
        <w:t xml:space="preserve">by the food business, </w:t>
      </w:r>
      <w:r w:rsidR="000222C3">
        <w:t xml:space="preserve">under intended conditions of distribution, storage, retail and use, that the food would remain safe and suitable. </w:t>
      </w:r>
    </w:p>
    <w:p w:rsidR="000222C3" w:rsidRDefault="000222C3" w:rsidP="00D66FC4">
      <w:pPr>
        <w:rPr>
          <w:sz w:val="20"/>
          <w:szCs w:val="20"/>
        </w:rPr>
      </w:pPr>
    </w:p>
    <w:p w:rsidR="00A12B67" w:rsidRDefault="00A12B67" w:rsidP="007F2809">
      <w:r>
        <w:t xml:space="preserve">Subclause 6(2) captures those RTE foods for which there is no listericidal process during production and product safety depends on the through-chain steps taken to minimise or reduce contamination. For these foods, occasional low level contamination may be unavoidable and </w:t>
      </w:r>
      <w:r w:rsidR="0058268F">
        <w:t>as such</w:t>
      </w:r>
      <w:r>
        <w:t xml:space="preserve"> a limit of </w:t>
      </w:r>
      <w:r w:rsidR="0058268F">
        <w:t xml:space="preserve">100 </w:t>
      </w:r>
      <w:r>
        <w:t xml:space="preserve">cfu/g </w:t>
      </w:r>
      <w:r w:rsidR="0058268F">
        <w:t>sh</w:t>
      </w:r>
      <w:r>
        <w:t>ould apply throughout the expected shelf life providing there is evidence that this limit will not be exceeded.</w:t>
      </w:r>
      <w:r w:rsidR="0058268F" w:rsidRPr="0058268F">
        <w:t xml:space="preserve"> </w:t>
      </w:r>
      <w:r w:rsidR="00EE5B76">
        <w:t xml:space="preserve">Subclause 6(3) </w:t>
      </w:r>
      <w:r w:rsidR="0058268F">
        <w:t>is included</w:t>
      </w:r>
      <w:r w:rsidR="0058268F" w:rsidRPr="0058268F">
        <w:t xml:space="preserve"> </w:t>
      </w:r>
      <w:r w:rsidR="0058268F">
        <w:t xml:space="preserve">to clarify that </w:t>
      </w:r>
      <w:r w:rsidR="007A6608">
        <w:t xml:space="preserve">such foods would normally include fresh cut </w:t>
      </w:r>
      <w:r w:rsidR="00F20F7C">
        <w:t xml:space="preserve">horticultural produce </w:t>
      </w:r>
      <w:r w:rsidR="007A6608">
        <w:t xml:space="preserve">and </w:t>
      </w:r>
      <w:r w:rsidR="00EE5B76">
        <w:t xml:space="preserve">processed </w:t>
      </w:r>
      <w:r w:rsidR="007A6608">
        <w:t>finfish</w:t>
      </w:r>
      <w:r w:rsidR="00EE5B76">
        <w:t>.</w:t>
      </w:r>
    </w:p>
    <w:p w:rsidR="006D02E1" w:rsidRDefault="006D02E1" w:rsidP="007F2809"/>
    <w:p w:rsidR="000222C3" w:rsidRDefault="00A34346" w:rsidP="007F2809">
      <w:r>
        <w:t xml:space="preserve">A definition </w:t>
      </w:r>
      <w:r w:rsidR="00F9553E">
        <w:t xml:space="preserve">for listericidal </w:t>
      </w:r>
      <w:r w:rsidR="00A21074">
        <w:t xml:space="preserve">process </w:t>
      </w:r>
      <w:r>
        <w:t>is included in the Standard:</w:t>
      </w:r>
    </w:p>
    <w:p w:rsidR="007F2809" w:rsidRDefault="007F2809" w:rsidP="00D66FC4">
      <w:pPr>
        <w:rPr>
          <w:sz w:val="20"/>
          <w:szCs w:val="20"/>
        </w:rPr>
      </w:pPr>
    </w:p>
    <w:p w:rsidR="000222C3" w:rsidRPr="00CF3BD9" w:rsidRDefault="00A34346" w:rsidP="000222C3">
      <w:r>
        <w:rPr>
          <w:noProof/>
          <w:lang w:eastAsia="en-GB"/>
        </w:rPr>
        <mc:AlternateContent>
          <mc:Choice Requires="wps">
            <w:drawing>
              <wp:anchor distT="0" distB="0" distL="114300" distR="114300" simplePos="0" relativeHeight="251665408" behindDoc="0" locked="0" layoutInCell="1" allowOverlap="1" wp14:anchorId="14D8DD99" wp14:editId="5EBA03C2">
                <wp:simplePos x="0" y="0"/>
                <wp:positionH relativeFrom="column">
                  <wp:posOffset>0</wp:posOffset>
                </wp:positionH>
                <wp:positionV relativeFrom="paragraph">
                  <wp:posOffset>0</wp:posOffset>
                </wp:positionV>
                <wp:extent cx="1828800" cy="1828800"/>
                <wp:effectExtent l="0" t="0" r="25400" b="1079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95000"/>
                          </a:schemeClr>
                        </a:solidFill>
                        <a:ln w="6350">
                          <a:solidFill>
                            <a:prstClr val="black"/>
                          </a:solidFill>
                        </a:ln>
                        <a:effectLst/>
                      </wps:spPr>
                      <wps:txbx>
                        <w:txbxContent>
                          <w:p w:rsidR="007A6608" w:rsidRDefault="007A6608" w:rsidP="007A6608">
                            <w:r>
                              <w:rPr>
                                <w:b/>
                              </w:rPr>
                              <w:t>Listericidal process</w:t>
                            </w:r>
                            <w:r>
                              <w:t xml:space="preserve"> </w:t>
                            </w:r>
                            <w:r w:rsidR="00B96846">
                              <w:t>means a process that reduce</w:t>
                            </w:r>
                            <w:r w:rsidR="00340C95">
                              <w:t>s</w:t>
                            </w:r>
                            <w:r w:rsidR="00B96846">
                              <w:t xml:space="preserve"> </w:t>
                            </w:r>
                            <w:r w:rsidR="00B96846" w:rsidRPr="00A52EDC">
                              <w:rPr>
                                <w:i/>
                                <w:iCs/>
                              </w:rPr>
                              <w:t>Listeria monocytogenes</w:t>
                            </w:r>
                            <w:r w:rsidR="00B96846">
                              <w:rPr>
                                <w:iCs/>
                              </w:rPr>
                              <w:t xml:space="preserve"> microorganisms to a safe level</w:t>
                            </w:r>
                            <w:r>
                              <w:t>.</w:t>
                            </w:r>
                          </w:p>
                          <w:p w:rsidR="00A34346" w:rsidRPr="005446F8" w:rsidRDefault="00A34346" w:rsidP="005446F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" fillcolor="#f2f2f2 [3052]" strokeweight=".5pt">
                <v:textbox style="mso-fit-shape-to-text:t">
                  <w:txbxContent>
                    <w:p w:rsidR="007A6608" w:rsidRDefault="007A6608" w:rsidP="007A6608">
                      <w:r>
                        <w:rPr>
                          <w:b/>
                        </w:rPr>
                        <w:t>Listericidal process</w:t>
                      </w:r>
                      <w:r>
                        <w:t xml:space="preserve"> </w:t>
                      </w:r>
                      <w:r w:rsidR="00B96846">
                        <w:t>means a process that reduce</w:t>
                      </w:r>
                      <w:r w:rsidR="00340C95">
                        <w:t>s</w:t>
                      </w:r>
                      <w:r w:rsidR="00B96846">
                        <w:t xml:space="preserve"> </w:t>
                      </w:r>
                      <w:r w:rsidR="00B96846" w:rsidRPr="00A52EDC">
                        <w:rPr>
                          <w:i/>
                          <w:iCs/>
                        </w:rPr>
                        <w:t>Listeria monocytogenes</w:t>
                      </w:r>
                      <w:r w:rsidR="00B96846">
                        <w:rPr>
                          <w:iCs/>
                        </w:rPr>
                        <w:t xml:space="preserve"> microorganisms to a safe level</w:t>
                      </w:r>
                      <w:r>
                        <w:t>.</w:t>
                      </w:r>
                    </w:p>
                    <w:p w:rsidR="00A34346" w:rsidRPr="005446F8" w:rsidRDefault="00A34346" w:rsidP="005446F8">
                      <w:pPr>
                        <w:rPr>
                          <w:b/>
                        </w:rPr>
                      </w:pPr>
                    </w:p>
                  </w:txbxContent>
                </v:textbox>
                <w10:wrap type="square"/>
              </v:shape>
            </w:pict>
          </mc:Fallback>
        </mc:AlternateContent>
      </w:r>
      <w:r w:rsidR="006259C7">
        <w:t>Listericidal</w:t>
      </w:r>
      <w:r w:rsidR="000222C3">
        <w:t xml:space="preserve"> process</w:t>
      </w:r>
      <w:r w:rsidR="006259C7">
        <w:t>es</w:t>
      </w:r>
      <w:r w:rsidR="000222C3">
        <w:t xml:space="preserve"> may include treatment</w:t>
      </w:r>
      <w:r w:rsidR="006259C7">
        <w:t>s</w:t>
      </w:r>
      <w:r w:rsidR="00D94E40">
        <w:t>,</w:t>
      </w:r>
      <w:r w:rsidR="000222C3">
        <w:t xml:space="preserve"> such as a heat treatment</w:t>
      </w:r>
      <w:r w:rsidR="006259C7">
        <w:t>,</w:t>
      </w:r>
      <w:r w:rsidR="00F152B2">
        <w:t xml:space="preserve"> high-pressure processing</w:t>
      </w:r>
      <w:r w:rsidR="006259C7">
        <w:t>, drying</w:t>
      </w:r>
      <w:r w:rsidR="00340C95">
        <w:t xml:space="preserve"> and/or</w:t>
      </w:r>
      <w:r w:rsidR="006259C7">
        <w:t xml:space="preserve"> acidification.</w:t>
      </w:r>
    </w:p>
    <w:p w:rsidR="000222C3" w:rsidRDefault="000222C3" w:rsidP="00D66FC4">
      <w:pPr>
        <w:rPr>
          <w:sz w:val="20"/>
          <w:szCs w:val="20"/>
        </w:rPr>
      </w:pPr>
    </w:p>
    <w:p w:rsidR="008E6BE1" w:rsidRPr="00C93524" w:rsidRDefault="00B05F1C" w:rsidP="007B6C4D">
      <w:pPr>
        <w:rPr>
          <w:b/>
          <w:sz w:val="28"/>
          <w:szCs w:val="28"/>
        </w:rPr>
      </w:pPr>
      <w:r w:rsidRPr="00C93524">
        <w:rPr>
          <w:b/>
          <w:sz w:val="28"/>
          <w:szCs w:val="28"/>
        </w:rPr>
        <w:t>Decision framework</w:t>
      </w:r>
    </w:p>
    <w:p w:rsidR="008E6BE1" w:rsidRDefault="008E6BE1" w:rsidP="007F57CC">
      <w:pPr>
        <w:rPr>
          <w:sz w:val="20"/>
          <w:szCs w:val="20"/>
        </w:rPr>
      </w:pPr>
    </w:p>
    <w:p w:rsidR="00495DED" w:rsidRDefault="00602E21" w:rsidP="007B6C4D">
      <w:r>
        <w:t>A</w:t>
      </w:r>
      <w:r w:rsidR="007F57CC">
        <w:t xml:space="preserve"> </w:t>
      </w:r>
      <w:r>
        <w:t xml:space="preserve">decision </w:t>
      </w:r>
      <w:r w:rsidR="007F57CC">
        <w:t xml:space="preserve">framework </w:t>
      </w:r>
      <w:r>
        <w:t>(</w:t>
      </w:r>
      <w:r w:rsidR="00B05F1C">
        <w:t xml:space="preserve">Figure </w:t>
      </w:r>
      <w:r w:rsidR="006E7083">
        <w:t>2</w:t>
      </w:r>
      <w:r>
        <w:t>)</w:t>
      </w:r>
      <w:r w:rsidR="00CE73BF">
        <w:t xml:space="preserve"> </w:t>
      </w:r>
      <w:r w:rsidR="00B05F1C">
        <w:t xml:space="preserve">has been developed to assist </w:t>
      </w:r>
      <w:r w:rsidR="006E7083">
        <w:t xml:space="preserve">enforcement agencies </w:t>
      </w:r>
      <w:r w:rsidR="00B05F1C">
        <w:t xml:space="preserve">and </w:t>
      </w:r>
      <w:r w:rsidR="006E7083">
        <w:t xml:space="preserve">food businesses </w:t>
      </w:r>
      <w:r w:rsidR="00D94E40">
        <w:t xml:space="preserve">to </w:t>
      </w:r>
      <w:r w:rsidR="007F57CC">
        <w:t>determin</w:t>
      </w:r>
      <w:r w:rsidR="00CE73BF">
        <w:t>e</w:t>
      </w:r>
      <w:r w:rsidR="007F57CC">
        <w:t xml:space="preserve"> </w:t>
      </w:r>
      <w:r w:rsidR="001F6675">
        <w:t>the appropriate</w:t>
      </w:r>
      <w:r w:rsidR="007F57CC">
        <w:t xml:space="preserve"> microbiological criteria</w:t>
      </w:r>
      <w:r w:rsidR="001F6675">
        <w:t>, if any,</w:t>
      </w:r>
      <w:r w:rsidR="00B21D0D">
        <w:t xml:space="preserve"> that</w:t>
      </w:r>
      <w:r w:rsidR="001F6675">
        <w:t xml:space="preserve"> </w:t>
      </w:r>
      <w:r w:rsidR="0073318B">
        <w:t xml:space="preserve">are </w:t>
      </w:r>
      <w:r w:rsidR="00191DD7">
        <w:t>appl</w:t>
      </w:r>
      <w:r w:rsidR="0073318B">
        <w:t>icable</w:t>
      </w:r>
      <w:r w:rsidR="00191DD7">
        <w:t xml:space="preserve"> to</w:t>
      </w:r>
      <w:r w:rsidR="007F57CC">
        <w:t xml:space="preserve"> </w:t>
      </w:r>
      <w:r w:rsidR="006328EE">
        <w:t xml:space="preserve">a </w:t>
      </w:r>
      <w:r w:rsidR="007F57CC">
        <w:t xml:space="preserve">RTE </w:t>
      </w:r>
      <w:r w:rsidR="001F6675">
        <w:t>food</w:t>
      </w:r>
      <w:r w:rsidR="00CE73BF">
        <w:t xml:space="preserve"> </w:t>
      </w:r>
      <w:r w:rsidR="006328EE">
        <w:t xml:space="preserve">product </w:t>
      </w:r>
      <w:r w:rsidR="00CE73BF">
        <w:t xml:space="preserve">and when validation </w:t>
      </w:r>
      <w:r w:rsidR="007A6608">
        <w:t>may be</w:t>
      </w:r>
      <w:r w:rsidR="00191DD7">
        <w:t xml:space="preserve"> required</w:t>
      </w:r>
      <w:r w:rsidR="00B21D0D">
        <w:t xml:space="preserve"> to support that determination</w:t>
      </w:r>
      <w:r w:rsidR="007F57CC">
        <w:t xml:space="preserve">. </w:t>
      </w:r>
    </w:p>
    <w:p w:rsidR="00495DED" w:rsidRDefault="00495DED" w:rsidP="007B6C4D"/>
    <w:p w:rsidR="005C0A4C" w:rsidRDefault="00495DED" w:rsidP="005C0A4C">
      <w:r>
        <w:t>The initial step of the framework identifies the foods that are excluded from the definition of RTE food for the purposes of Standard 1.6.1.</w:t>
      </w:r>
      <w:r w:rsidR="005C0A4C" w:rsidRPr="005C0A4C">
        <w:t xml:space="preserve"> </w:t>
      </w:r>
      <w:r w:rsidR="005C0A4C">
        <w:t xml:space="preserve">The definition excludes shelf stable foods, fresh whole horticultural produce and live bivalve molluscs.  </w:t>
      </w:r>
    </w:p>
    <w:p w:rsidR="008408FD" w:rsidRDefault="008408FD"/>
    <w:p w:rsidR="00A40BBD" w:rsidRDefault="00495DED" w:rsidP="00A40BBD">
      <w:r>
        <w:t xml:space="preserve">The next step </w:t>
      </w:r>
      <w:r w:rsidR="005C0A4C">
        <w:t>recognises that there may</w:t>
      </w:r>
      <w:r>
        <w:t xml:space="preserve"> </w:t>
      </w:r>
      <w:r w:rsidR="005C0A4C">
        <w:t xml:space="preserve">be processing factors used during manufacture that ensure </w:t>
      </w:r>
      <w:r w:rsidR="005C0A4C" w:rsidRPr="005C0A4C">
        <w:rPr>
          <w:i/>
        </w:rPr>
        <w:t>L. monocytogenes</w:t>
      </w:r>
      <w:r w:rsidR="005C0A4C">
        <w:t xml:space="preserve"> does not present a risk and so </w:t>
      </w:r>
      <w:r>
        <w:t xml:space="preserve">compliance </w:t>
      </w:r>
      <w:r w:rsidR="007F57CC">
        <w:t xml:space="preserve">testing </w:t>
      </w:r>
      <w:r>
        <w:t>may be</w:t>
      </w:r>
      <w:r w:rsidR="007F57CC" w:rsidRPr="00BE06BC">
        <w:t xml:space="preserve"> </w:t>
      </w:r>
      <w:r w:rsidR="00191DD7">
        <w:t xml:space="preserve">considered </w:t>
      </w:r>
      <w:r w:rsidR="00FC0A61">
        <w:t>unnecessary</w:t>
      </w:r>
      <w:r w:rsidR="007F57CC" w:rsidRPr="00BE06BC">
        <w:t>.</w:t>
      </w:r>
      <w:r w:rsidR="00B05F1C">
        <w:t xml:space="preserve"> </w:t>
      </w:r>
      <w:r w:rsidR="00A40BBD">
        <w:t xml:space="preserve">The Codex </w:t>
      </w:r>
      <w:r w:rsidR="00A40BBD" w:rsidRPr="00A40BBD">
        <w:rPr>
          <w:i/>
        </w:rPr>
        <w:t>Guidelines on the application of general principles of food hygiene to the control of Listeria monocytogenes in foods</w:t>
      </w:r>
      <w:r w:rsidR="00A40BBD">
        <w:t xml:space="preserve"> (Codex, 2007) states that testing against microbiological criteria for </w:t>
      </w:r>
      <w:r w:rsidR="00A40BBD" w:rsidRPr="005C0A4C">
        <w:rPr>
          <w:i/>
        </w:rPr>
        <w:t>L. monocytogenes</w:t>
      </w:r>
      <w:r w:rsidR="00A40BBD">
        <w:t xml:space="preserve"> may not be useful for:</w:t>
      </w:r>
    </w:p>
    <w:p w:rsidR="00241F99" w:rsidRDefault="00241F99" w:rsidP="00A40BBD">
      <w:r>
        <w:br w:type="page"/>
      </w:r>
    </w:p>
    <w:p w:rsidR="00241F99" w:rsidRDefault="00A40BBD" w:rsidP="00A40BBD">
      <w:pPr>
        <w:ind w:left="720" w:hanging="720"/>
      </w:pPr>
      <w:r>
        <w:lastRenderedPageBreak/>
        <w:t>a)</w:t>
      </w:r>
      <w:r>
        <w:tab/>
        <w:t>products that receive a listericidal treatment after being sealed in final packaging that ensures prevention of recontamination until opened by the consumer or otherwise compromised,</w:t>
      </w:r>
    </w:p>
    <w:p w:rsidR="00A40BBD" w:rsidRDefault="00A40BBD" w:rsidP="00A40BBD">
      <w:r>
        <w:t>b)</w:t>
      </w:r>
      <w:r>
        <w:tab/>
        <w:t>foods that are aseptically processed and packaged, and</w:t>
      </w:r>
    </w:p>
    <w:p w:rsidR="00A40BBD" w:rsidRDefault="00A40BBD" w:rsidP="00A40BBD">
      <w:pPr>
        <w:ind w:left="720" w:hanging="720"/>
      </w:pPr>
      <w:r>
        <w:t>c)</w:t>
      </w:r>
      <w:r>
        <w:tab/>
        <w:t>products that contain a listericidal component that ensures rapid inactivation of the pathogen if re-contaminated (e.g. products that contain &gt;5% ethanol)</w:t>
      </w:r>
    </w:p>
    <w:p w:rsidR="00785769" w:rsidRDefault="00785769" w:rsidP="00785769"/>
    <w:p w:rsidR="008E6BE1" w:rsidRPr="00C93524" w:rsidRDefault="00355FCB" w:rsidP="00FA4DE7">
      <w:pPr>
        <w:pStyle w:val="FSBullet1"/>
        <w:numPr>
          <w:ilvl w:val="0"/>
          <w:numId w:val="0"/>
        </w:numPr>
      </w:pPr>
      <w:r>
        <w:t>The framework then considers the chemical and physi</w:t>
      </w:r>
      <w:r w:rsidR="004622F1">
        <w:t xml:space="preserve">cal characteristics of the food, </w:t>
      </w:r>
      <w:r>
        <w:t xml:space="preserve">its shelf life, and </w:t>
      </w:r>
      <w:r w:rsidR="005C0A4C">
        <w:t xml:space="preserve">additional </w:t>
      </w:r>
      <w:r>
        <w:t xml:space="preserve">processing factors. </w:t>
      </w:r>
      <w:r w:rsidR="00FA4DE7">
        <w:t>RTE foods</w:t>
      </w:r>
      <w:r w:rsidR="00FA4DE7" w:rsidRPr="00810E05">
        <w:t xml:space="preserve"> meet</w:t>
      </w:r>
      <w:r w:rsidR="00FA4DE7">
        <w:t>ing</w:t>
      </w:r>
      <w:r w:rsidR="00FA4DE7" w:rsidRPr="00810E05">
        <w:t xml:space="preserve"> the criteria </w:t>
      </w:r>
      <w:r w:rsidR="00FA4DE7">
        <w:t xml:space="preserve">defined in Standard 1.6.1 are considered as not supporting the growth of </w:t>
      </w:r>
      <w:r w:rsidR="00FA4DE7" w:rsidRPr="009C16EA">
        <w:rPr>
          <w:i/>
        </w:rPr>
        <w:t>L. monocytogenes</w:t>
      </w:r>
      <w:r w:rsidR="00FA4DE7">
        <w:t xml:space="preserve">. </w:t>
      </w:r>
      <w:r w:rsidR="0073318B">
        <w:t>W</w:t>
      </w:r>
      <w:r w:rsidR="001A6977">
        <w:t>here</w:t>
      </w:r>
      <w:r w:rsidR="00785769">
        <w:t xml:space="preserve"> insufficient, inadequate or no information exists </w:t>
      </w:r>
      <w:r w:rsidR="00602E21">
        <w:t xml:space="preserve">to </w:t>
      </w:r>
      <w:r w:rsidR="001F6675">
        <w:t>demonstrat</w:t>
      </w:r>
      <w:r w:rsidR="00602E21">
        <w:t xml:space="preserve">e </w:t>
      </w:r>
      <w:r>
        <w:t xml:space="preserve">that </w:t>
      </w:r>
      <w:r w:rsidR="00426392">
        <w:t>growth of</w:t>
      </w:r>
      <w:r w:rsidR="001A6977">
        <w:t xml:space="preserve"> </w:t>
      </w:r>
      <w:r w:rsidR="001A6977" w:rsidRPr="00C93524">
        <w:rPr>
          <w:i/>
        </w:rPr>
        <w:t>L. monocytogenes</w:t>
      </w:r>
      <w:r w:rsidR="0073318B">
        <w:t xml:space="preserve"> will not occur in a RTE</w:t>
      </w:r>
      <w:r w:rsidR="001F6675">
        <w:t xml:space="preserve"> food</w:t>
      </w:r>
      <w:r w:rsidR="005C5BA7">
        <w:t>,</w:t>
      </w:r>
      <w:r w:rsidR="001F6675">
        <w:t xml:space="preserve"> </w:t>
      </w:r>
      <w:r w:rsidR="00B13C10">
        <w:t xml:space="preserve">the food </w:t>
      </w:r>
      <w:r w:rsidR="008C4085">
        <w:t xml:space="preserve">is considered to </w:t>
      </w:r>
      <w:r w:rsidR="00785769">
        <w:t xml:space="preserve">support growth and </w:t>
      </w:r>
      <w:r w:rsidR="00B13C10">
        <w:t xml:space="preserve">therefore </w:t>
      </w:r>
      <w:r w:rsidR="00191DD7">
        <w:t>a</w:t>
      </w:r>
      <w:r w:rsidR="006328EE">
        <w:t xml:space="preserve"> limit of</w:t>
      </w:r>
      <w:r w:rsidR="00191DD7">
        <w:t xml:space="preserve"> ‘</w:t>
      </w:r>
      <w:r w:rsidR="00785769">
        <w:t>not detected’</w:t>
      </w:r>
      <w:r w:rsidR="00B13C10">
        <w:t xml:space="preserve"> would apply</w:t>
      </w:r>
      <w:r w:rsidR="00785769">
        <w:t>.</w:t>
      </w:r>
      <w:r w:rsidR="0073318B" w:rsidRPr="0073318B">
        <w:t xml:space="preserve"> </w:t>
      </w:r>
    </w:p>
    <w:p w:rsidR="008E6BE1" w:rsidRPr="00B14F9A" w:rsidRDefault="00ED202A" w:rsidP="008E6BE1">
      <w:pPr>
        <w:pStyle w:val="Heading4"/>
      </w:pPr>
      <w:r>
        <w:t>Food c</w:t>
      </w:r>
      <w:r w:rsidR="008E6BE1">
        <w:t>haracteristics</w:t>
      </w:r>
      <w:r>
        <w:t xml:space="preserve"> and </w:t>
      </w:r>
      <w:r w:rsidR="00355FCB">
        <w:t>shelf life</w:t>
      </w:r>
    </w:p>
    <w:p w:rsidR="008E6BE1" w:rsidRDefault="008E6BE1" w:rsidP="008E6BE1">
      <w:r>
        <w:t xml:space="preserve">Knowledge of the chemical and physical characteristics of a product </w:t>
      </w:r>
      <w:r w:rsidR="00680C9C">
        <w:t xml:space="preserve">is needed in order to decide </w:t>
      </w:r>
      <w:r>
        <w:t xml:space="preserve">whether an RTE food supports the growth </w:t>
      </w:r>
      <w:r w:rsidRPr="0055355A">
        <w:rPr>
          <w:i/>
        </w:rPr>
        <w:t>of L.</w:t>
      </w:r>
      <w:r>
        <w:rPr>
          <w:i/>
        </w:rPr>
        <w:t> mo</w:t>
      </w:r>
      <w:r w:rsidR="008D3976">
        <w:rPr>
          <w:i/>
        </w:rPr>
        <w:t>nocytogenes</w:t>
      </w:r>
      <w:r w:rsidR="008D3976">
        <w:t>.</w:t>
      </w:r>
      <w:r>
        <w:t xml:space="preserve"> </w:t>
      </w:r>
      <w:r w:rsidR="006E4F06">
        <w:t>C</w:t>
      </w:r>
      <w:r>
        <w:t>riteria have been agreed internationally (Codex</w:t>
      </w:r>
      <w:r w:rsidR="006E4F06">
        <w:t>, 2007</w:t>
      </w:r>
      <w:r>
        <w:t xml:space="preserve">) for RTE foods </w:t>
      </w:r>
      <w:r w:rsidR="006E4F06">
        <w:t xml:space="preserve">that do not support the growth of </w:t>
      </w:r>
      <w:r w:rsidR="006E4F06" w:rsidRPr="006E4F06">
        <w:rPr>
          <w:i/>
        </w:rPr>
        <w:t>L. monocytogenes</w:t>
      </w:r>
      <w:r w:rsidR="006E4F06">
        <w:t xml:space="preserve"> </w:t>
      </w:r>
      <w:r>
        <w:t xml:space="preserve">where the physico-chemical characteristics fall into one of three ranges throughout the food’s stated shelf life. </w:t>
      </w:r>
      <w:r w:rsidR="008757D8">
        <w:t>These default criteria are:</w:t>
      </w:r>
    </w:p>
    <w:p w:rsidR="008E6BE1" w:rsidRDefault="008E6BE1" w:rsidP="008E6BE1"/>
    <w:p w:rsidR="008E6BE1" w:rsidRDefault="008E6BE1" w:rsidP="008E6BE1">
      <w:pPr>
        <w:pStyle w:val="ListParagraph"/>
        <w:numPr>
          <w:ilvl w:val="0"/>
          <w:numId w:val="22"/>
        </w:numPr>
        <w:ind w:left="567" w:hanging="567"/>
      </w:pPr>
      <w:r>
        <w:t>pH &lt; 4.4, regardless of water activity</w:t>
      </w:r>
      <w:r w:rsidR="008757D8">
        <w:t>;</w:t>
      </w:r>
    </w:p>
    <w:p w:rsidR="008E6BE1" w:rsidRDefault="008E6BE1" w:rsidP="008E6BE1">
      <w:pPr>
        <w:pStyle w:val="ListParagraph"/>
        <w:numPr>
          <w:ilvl w:val="0"/>
          <w:numId w:val="22"/>
        </w:numPr>
        <w:ind w:left="567" w:hanging="567"/>
      </w:pPr>
      <w:r>
        <w:t>a</w:t>
      </w:r>
      <w:r w:rsidRPr="00EB1071">
        <w:rPr>
          <w:vertAlign w:val="subscript"/>
        </w:rPr>
        <w:t>w</w:t>
      </w:r>
      <w:r>
        <w:t xml:space="preserve"> &lt; 0.92, regardless of pH</w:t>
      </w:r>
      <w:r w:rsidR="008757D8">
        <w:t>;</w:t>
      </w:r>
      <w:r>
        <w:t xml:space="preserve"> </w:t>
      </w:r>
      <w:r w:rsidR="00810147">
        <w:t>and</w:t>
      </w:r>
    </w:p>
    <w:p w:rsidR="008E6BE1" w:rsidRPr="002865AC" w:rsidRDefault="008E6BE1" w:rsidP="008E6BE1">
      <w:pPr>
        <w:pStyle w:val="FSBullet1"/>
      </w:pPr>
      <w:r w:rsidRPr="002865AC">
        <w:t>combination of pH &lt; 5.0 and water activity &lt; 0.94</w:t>
      </w:r>
      <w:r w:rsidR="00810147">
        <w:t>.</w:t>
      </w:r>
    </w:p>
    <w:p w:rsidR="008E6BE1" w:rsidRDefault="008E6BE1" w:rsidP="008E6BE1">
      <w:pPr>
        <w:pStyle w:val="FSBullet1"/>
        <w:numPr>
          <w:ilvl w:val="0"/>
          <w:numId w:val="0"/>
        </w:numPr>
      </w:pPr>
    </w:p>
    <w:p w:rsidR="008E6BE1" w:rsidRDefault="00810147" w:rsidP="008E6BE1">
      <w:pPr>
        <w:pStyle w:val="FSBullet1"/>
        <w:numPr>
          <w:ilvl w:val="0"/>
          <w:numId w:val="0"/>
        </w:numPr>
      </w:pPr>
      <w:r>
        <w:t xml:space="preserve">In addition, </w:t>
      </w:r>
      <w:r w:rsidR="006E4F06">
        <w:t xml:space="preserve">RTE </w:t>
      </w:r>
      <w:r>
        <w:t>f</w:t>
      </w:r>
      <w:r w:rsidR="00C24ABF">
        <w:t xml:space="preserve">oods which are frozen are also </w:t>
      </w:r>
      <w:r w:rsidR="00FA4DE7">
        <w:t xml:space="preserve">considered to be </w:t>
      </w:r>
      <w:r w:rsidR="00680C9C">
        <w:t xml:space="preserve">foods in which the growth of </w:t>
      </w:r>
      <w:r w:rsidR="00680C9C" w:rsidRPr="00680C9C">
        <w:rPr>
          <w:i/>
        </w:rPr>
        <w:t>L. monocytogenes</w:t>
      </w:r>
      <w:r w:rsidR="00680C9C">
        <w:t xml:space="preserve"> cannot occur. </w:t>
      </w:r>
      <w:r w:rsidR="006E4F06">
        <w:t>These</w:t>
      </w:r>
      <w:r w:rsidR="00680C9C">
        <w:t xml:space="preserve"> products</w:t>
      </w:r>
      <w:r w:rsidR="008E6BE1">
        <w:t xml:space="preserve"> include foods consumed frozen </w:t>
      </w:r>
      <w:r w:rsidR="00680C9C">
        <w:t xml:space="preserve">(such as ice cream) </w:t>
      </w:r>
      <w:r w:rsidR="008E6BE1">
        <w:t xml:space="preserve">and those intended to be thawed </w:t>
      </w:r>
      <w:r w:rsidR="00680C9C">
        <w:t xml:space="preserve">just </w:t>
      </w:r>
      <w:r w:rsidR="008E6BE1">
        <w:t xml:space="preserve">before consumption (to be eaten cold or re-heated). </w:t>
      </w:r>
      <w:r w:rsidR="004622F1">
        <w:t xml:space="preserve">Final use of the </w:t>
      </w:r>
      <w:r>
        <w:t xml:space="preserve">frozen </w:t>
      </w:r>
      <w:r w:rsidR="004622F1">
        <w:t xml:space="preserve">product </w:t>
      </w:r>
      <w:r w:rsidR="006E4F06">
        <w:t>and instructions for use should</w:t>
      </w:r>
      <w:r w:rsidR="004622F1" w:rsidRPr="00B14F9A">
        <w:t xml:space="preserve"> be considered</w:t>
      </w:r>
      <w:r w:rsidR="006E4F06">
        <w:t>. If,</w:t>
      </w:r>
      <w:r w:rsidR="004622F1">
        <w:t xml:space="preserve"> for example,</w:t>
      </w:r>
      <w:r w:rsidR="004622F1" w:rsidRPr="00B14F9A">
        <w:t xml:space="preserve"> </w:t>
      </w:r>
      <w:r w:rsidR="004622F1">
        <w:t xml:space="preserve">the </w:t>
      </w:r>
      <w:r w:rsidR="008E6BE1">
        <w:t>product</w:t>
      </w:r>
      <w:r w:rsidR="004622F1">
        <w:t xml:space="preserve"> </w:t>
      </w:r>
      <w:r w:rsidR="006E4F06">
        <w:t xml:space="preserve">is </w:t>
      </w:r>
      <w:r w:rsidR="008E6BE1">
        <w:t xml:space="preserve">intended to be thawed for </w:t>
      </w:r>
      <w:r w:rsidR="004622F1">
        <w:t xml:space="preserve">retail </w:t>
      </w:r>
      <w:r w:rsidR="008E6BE1">
        <w:t>sale</w:t>
      </w:r>
      <w:r w:rsidR="004622F1">
        <w:t xml:space="preserve"> it would not </w:t>
      </w:r>
      <w:r w:rsidR="006E4F06">
        <w:t xml:space="preserve">at that stage </w:t>
      </w:r>
      <w:r w:rsidR="004622F1">
        <w:t>be a frozen product</w:t>
      </w:r>
      <w:r w:rsidR="006E4F06">
        <w:t xml:space="preserve"> and growth may occur.</w:t>
      </w:r>
      <w:r w:rsidR="004622F1">
        <w:t xml:space="preserve"> </w:t>
      </w:r>
    </w:p>
    <w:p w:rsidR="00ED202A" w:rsidRDefault="00ED202A" w:rsidP="008E6BE1">
      <w:pPr>
        <w:pStyle w:val="FSBullet1"/>
        <w:numPr>
          <w:ilvl w:val="0"/>
          <w:numId w:val="0"/>
        </w:numPr>
      </w:pPr>
    </w:p>
    <w:p w:rsidR="008E6BE1" w:rsidRDefault="008E6BE1" w:rsidP="008E6BE1">
      <w:pPr>
        <w:pStyle w:val="FSBullet1"/>
        <w:numPr>
          <w:ilvl w:val="0"/>
          <w:numId w:val="0"/>
        </w:numPr>
      </w:pPr>
      <w:r>
        <w:t xml:space="preserve">The potential for </w:t>
      </w:r>
      <w:r w:rsidRPr="002F1721">
        <w:rPr>
          <w:i/>
        </w:rPr>
        <w:t>L. monocytogenes</w:t>
      </w:r>
      <w:r>
        <w:t xml:space="preserve"> to grow to high levels in foods with a short refrigerated shelf life</w:t>
      </w:r>
      <w:r w:rsidR="008408FD">
        <w:t xml:space="preserve"> (</w:t>
      </w:r>
      <w:r w:rsidR="008408FD">
        <w:sym w:font="Symbol" w:char="F0A3"/>
      </w:r>
      <w:r w:rsidR="008408FD">
        <w:t xml:space="preserve"> 5 days)</w:t>
      </w:r>
      <w:r>
        <w:t xml:space="preserve"> is restricted (Health Canada, 2011; Ross 2011). </w:t>
      </w:r>
      <w:r w:rsidR="00810147">
        <w:t xml:space="preserve">Studies support </w:t>
      </w:r>
      <w:r w:rsidR="00B21D0D">
        <w:t xml:space="preserve">the conclusion </w:t>
      </w:r>
      <w:r w:rsidR="00810147">
        <w:t>that, p</w:t>
      </w:r>
      <w:r>
        <w:t>roviding G</w:t>
      </w:r>
      <w:r w:rsidR="006B42B6">
        <w:t xml:space="preserve">ood </w:t>
      </w:r>
      <w:r>
        <w:t>M</w:t>
      </w:r>
      <w:r w:rsidR="006B42B6">
        <w:t xml:space="preserve">anufacturing </w:t>
      </w:r>
      <w:r>
        <w:t>P</w:t>
      </w:r>
      <w:r w:rsidR="006B42B6">
        <w:t>ractices (GHP)</w:t>
      </w:r>
      <w:r>
        <w:t>/G</w:t>
      </w:r>
      <w:r w:rsidR="006B42B6">
        <w:t xml:space="preserve">ood </w:t>
      </w:r>
      <w:r>
        <w:t>H</w:t>
      </w:r>
      <w:r w:rsidR="00FA4DE7">
        <w:t>ygienic</w:t>
      </w:r>
      <w:r w:rsidR="006B42B6">
        <w:t xml:space="preserve"> </w:t>
      </w:r>
      <w:r>
        <w:t>P</w:t>
      </w:r>
      <w:r w:rsidR="006B42B6">
        <w:t>ractices (GHP)</w:t>
      </w:r>
      <w:r>
        <w:t xml:space="preserve"> ha</w:t>
      </w:r>
      <w:r w:rsidR="006B42B6">
        <w:t>ve</w:t>
      </w:r>
      <w:r>
        <w:t xml:space="preserve"> been followed to minimise initial contamination levels, </w:t>
      </w:r>
      <w:r w:rsidR="00810147">
        <w:t>short shelf life</w:t>
      </w:r>
      <w:r>
        <w:t xml:space="preserve"> foods pose a lower risk with respect to causing listeriosis. </w:t>
      </w:r>
    </w:p>
    <w:p w:rsidR="008408FD" w:rsidRDefault="008408FD" w:rsidP="008408FD">
      <w:pPr>
        <w:pStyle w:val="FSBullet1"/>
        <w:numPr>
          <w:ilvl w:val="0"/>
          <w:numId w:val="0"/>
        </w:numPr>
      </w:pPr>
    </w:p>
    <w:p w:rsidR="00C23545" w:rsidRDefault="00C23545" w:rsidP="0066240D"/>
    <w:p w:rsidR="006E7083" w:rsidRDefault="005B6A6D" w:rsidP="0066240D">
      <w:r w:rsidRPr="005B6A6D">
        <w:rPr>
          <w:noProof/>
          <w:lang w:eastAsia="en-GB"/>
        </w:rPr>
        <w:lastRenderedPageBreak/>
        <w:drawing>
          <wp:inline distT="0" distB="0" distL="0" distR="0" wp14:anchorId="096D892B" wp14:editId="4A33E573">
            <wp:extent cx="5759450" cy="770168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701688"/>
                    </a:xfrm>
                    <a:prstGeom prst="rect">
                      <a:avLst/>
                    </a:prstGeom>
                    <a:noFill/>
                    <a:ln>
                      <a:noFill/>
                    </a:ln>
                  </pic:spPr>
                </pic:pic>
              </a:graphicData>
            </a:graphic>
          </wp:inline>
        </w:drawing>
      </w:r>
    </w:p>
    <w:p w:rsidR="00241F99" w:rsidRDefault="00241F99" w:rsidP="00241F99">
      <w:pPr>
        <w:pStyle w:val="FSTableColumnRowheading"/>
        <w:rPr>
          <w:b w:val="0"/>
          <w:i/>
        </w:rPr>
      </w:pPr>
      <w:r>
        <w:rPr>
          <w:b w:val="0"/>
          <w:i/>
        </w:rPr>
        <w:t>Figure 2:</w:t>
      </w:r>
      <w:r w:rsidR="006E7083" w:rsidRPr="00241F99">
        <w:rPr>
          <w:b w:val="0"/>
          <w:i/>
        </w:rPr>
        <w:t xml:space="preserve">  Recommended framework for applying limits for L. monocytogenes in RTE foods for the purpose of Standard 1.6.1 and where validation</w:t>
      </w:r>
      <w:r w:rsidR="00FA4DE7" w:rsidRPr="00241F99">
        <w:rPr>
          <w:b w:val="0"/>
          <w:i/>
        </w:rPr>
        <w:t xml:space="preserve"> is required</w:t>
      </w:r>
    </w:p>
    <w:p w:rsidR="00241F99" w:rsidRDefault="00241F99" w:rsidP="00241F99">
      <w:pPr>
        <w:pStyle w:val="FSTableColumnRowheading"/>
        <w:rPr>
          <w:b w:val="0"/>
          <w:i/>
        </w:rPr>
      </w:pPr>
      <w:r>
        <w:rPr>
          <w:b w:val="0"/>
          <w:i/>
        </w:rPr>
        <w:br w:type="page"/>
      </w:r>
    </w:p>
    <w:p w:rsidR="009152BD" w:rsidRPr="00C93524" w:rsidRDefault="009152BD" w:rsidP="009152BD">
      <w:pPr>
        <w:rPr>
          <w:b/>
          <w:i/>
        </w:rPr>
      </w:pPr>
      <w:r>
        <w:rPr>
          <w:b/>
          <w:i/>
        </w:rPr>
        <w:lastRenderedPageBreak/>
        <w:t>P</w:t>
      </w:r>
      <w:r w:rsidRPr="00C93524">
        <w:rPr>
          <w:b/>
          <w:i/>
        </w:rPr>
        <w:t>roduction processes and additional validation</w:t>
      </w:r>
    </w:p>
    <w:p w:rsidR="009152BD" w:rsidRDefault="009152BD" w:rsidP="009152BD"/>
    <w:p w:rsidR="009152BD" w:rsidRPr="00A76EA8" w:rsidRDefault="009152BD" w:rsidP="009152BD">
      <w:pPr>
        <w:rPr>
          <w:i/>
        </w:rPr>
      </w:pPr>
      <w:r w:rsidRPr="00A76EA8">
        <w:rPr>
          <w:i/>
        </w:rPr>
        <w:t>1. Has</w:t>
      </w:r>
      <w:r>
        <w:rPr>
          <w:i/>
        </w:rPr>
        <w:t xml:space="preserve"> the</w:t>
      </w:r>
      <w:r w:rsidRPr="00A76EA8">
        <w:rPr>
          <w:i/>
        </w:rPr>
        <w:t xml:space="preserve"> RTE food received a listericidal </w:t>
      </w:r>
      <w:r>
        <w:rPr>
          <w:i/>
        </w:rPr>
        <w:t>process</w:t>
      </w:r>
      <w:r w:rsidRPr="00A76EA8">
        <w:rPr>
          <w:i/>
        </w:rPr>
        <w:t>?</w:t>
      </w:r>
    </w:p>
    <w:p w:rsidR="009152BD" w:rsidRDefault="009152BD" w:rsidP="009152BD"/>
    <w:p w:rsidR="009152BD" w:rsidRDefault="00FA4DE7" w:rsidP="009152BD">
      <w:r>
        <w:t>A further</w:t>
      </w:r>
      <w:r w:rsidR="009152BD">
        <w:t xml:space="preserve"> consideration for determining the appropriate microbiological limit </w:t>
      </w:r>
      <w:r>
        <w:t xml:space="preserve">for </w:t>
      </w:r>
      <w:r w:rsidR="00CA7C28">
        <w:br w:type="textWrapping" w:clear="all"/>
      </w:r>
      <w:r w:rsidRPr="00FA4DE7">
        <w:rPr>
          <w:i/>
        </w:rPr>
        <w:t>L. monocytogenes</w:t>
      </w:r>
      <w:r>
        <w:t xml:space="preserve"> </w:t>
      </w:r>
      <w:r w:rsidR="009152BD">
        <w:t xml:space="preserve">is whether a RTE food receives a listericidal process during production. The presence of </w:t>
      </w:r>
      <w:r w:rsidR="009152BD" w:rsidRPr="00021E4B">
        <w:rPr>
          <w:i/>
        </w:rPr>
        <w:t>L. monocytogenes</w:t>
      </w:r>
      <w:r w:rsidR="009152BD">
        <w:t xml:space="preserve"> in RTE foods that have received such a treatment indicates re-contamination</w:t>
      </w:r>
      <w:r w:rsidR="009152BD" w:rsidRPr="00021E4B">
        <w:t xml:space="preserve"> </w:t>
      </w:r>
      <w:r w:rsidR="009152BD">
        <w:t xml:space="preserve">following the listericidal processing step. </w:t>
      </w:r>
      <w:r w:rsidR="000C5F97">
        <w:t>W</w:t>
      </w:r>
      <w:r w:rsidR="009152BD">
        <w:t xml:space="preserve">hether growth can then occur may depend upon product characteristics, use of inhibitory substances, </w:t>
      </w:r>
      <w:r>
        <w:t>p</w:t>
      </w:r>
      <w:r w:rsidR="009152BD">
        <w:t>roduction</w:t>
      </w:r>
      <w:r>
        <w:t xml:space="preserve"> and </w:t>
      </w:r>
      <w:r w:rsidR="009152BD">
        <w:t>packaging practices, and/or the shelf life of the food.</w:t>
      </w:r>
      <w:r w:rsidR="009152BD" w:rsidRPr="00021E4B">
        <w:t xml:space="preserve"> </w:t>
      </w:r>
    </w:p>
    <w:p w:rsidR="00573A90" w:rsidRDefault="00573A90" w:rsidP="0066240D"/>
    <w:p w:rsidR="00584718" w:rsidRDefault="00573A90" w:rsidP="0066240D">
      <w:r>
        <w:t>In the absence of any other information</w:t>
      </w:r>
      <w:r w:rsidR="00380D94">
        <w:t>,</w:t>
      </w:r>
      <w:r>
        <w:t xml:space="preserve"> a limit of ‘not detected’ in 25 g </w:t>
      </w:r>
      <w:r w:rsidR="00A40BBD">
        <w:t>sh</w:t>
      </w:r>
      <w:r>
        <w:t>ould apply to these RTE foods</w:t>
      </w:r>
      <w:r w:rsidR="00584718">
        <w:t xml:space="preserve"> throughout their </w:t>
      </w:r>
      <w:r w:rsidR="000C5F97">
        <w:t xml:space="preserve">expected </w:t>
      </w:r>
      <w:r w:rsidR="00584718">
        <w:t>shelf life</w:t>
      </w:r>
      <w:r>
        <w:t xml:space="preserve">. This is the default criterion should a business not have specific information available about their RTE food (e.g. </w:t>
      </w:r>
      <w:r w:rsidR="00584718">
        <w:t xml:space="preserve">unable to validate whether </w:t>
      </w:r>
      <w:r>
        <w:t xml:space="preserve">growth of </w:t>
      </w:r>
      <w:r w:rsidR="00584718" w:rsidRPr="00584718">
        <w:rPr>
          <w:i/>
        </w:rPr>
        <w:t>L. monocytogenes</w:t>
      </w:r>
      <w:r>
        <w:t xml:space="preserve"> </w:t>
      </w:r>
      <w:r w:rsidR="000C5F97">
        <w:t>does not</w:t>
      </w:r>
      <w:r w:rsidR="00584718">
        <w:t xml:space="preserve"> occur during the</w:t>
      </w:r>
      <w:r>
        <w:t xml:space="preserve"> stated shelf life). </w:t>
      </w:r>
    </w:p>
    <w:p w:rsidR="00584718" w:rsidRDefault="00584718" w:rsidP="0066240D"/>
    <w:p w:rsidR="00573A90" w:rsidRDefault="00573A90" w:rsidP="0066240D">
      <w:r>
        <w:t xml:space="preserve">If evidence can be provided that </w:t>
      </w:r>
      <w:r w:rsidR="00584718">
        <w:t xml:space="preserve">the RTE food </w:t>
      </w:r>
      <w:r w:rsidR="006E7FF7">
        <w:t>will</w:t>
      </w:r>
      <w:r w:rsidR="00584718">
        <w:t xml:space="preserve"> not support </w:t>
      </w:r>
      <w:r w:rsidR="006E7FF7">
        <w:t xml:space="preserve">the </w:t>
      </w:r>
      <w:r>
        <w:t>growth</w:t>
      </w:r>
      <w:r w:rsidR="006E7FF7" w:rsidRPr="006E7FF7">
        <w:t xml:space="preserve"> </w:t>
      </w:r>
      <w:r w:rsidR="006E7FF7">
        <w:t xml:space="preserve">of </w:t>
      </w:r>
      <w:r w:rsidR="00CA7C28">
        <w:br w:type="textWrapping" w:clear="all"/>
      </w:r>
      <w:r w:rsidR="006E7FF7" w:rsidRPr="006E7FF7">
        <w:rPr>
          <w:i/>
        </w:rPr>
        <w:t>L. monocytogenes</w:t>
      </w:r>
      <w:r w:rsidR="00FC7DD4">
        <w:t>,</w:t>
      </w:r>
      <w:r>
        <w:t xml:space="preserve"> then </w:t>
      </w:r>
      <w:r w:rsidR="006C45C0">
        <w:t>the</w:t>
      </w:r>
      <w:r>
        <w:t xml:space="preserve"> limit of</w:t>
      </w:r>
      <w:r w:rsidR="00BA2BAF">
        <w:t xml:space="preserve"> </w:t>
      </w:r>
      <w:r>
        <w:t>100</w:t>
      </w:r>
      <w:r w:rsidR="000C5F97">
        <w:t xml:space="preserve"> </w:t>
      </w:r>
      <w:r>
        <w:t xml:space="preserve">cfu/g </w:t>
      </w:r>
      <w:r w:rsidR="00584718">
        <w:t xml:space="preserve">throughout the </w:t>
      </w:r>
      <w:r w:rsidR="000C5F97">
        <w:t>expected</w:t>
      </w:r>
      <w:r w:rsidR="00584718">
        <w:t xml:space="preserve"> shelf life </w:t>
      </w:r>
      <w:r>
        <w:t>would appl</w:t>
      </w:r>
      <w:r w:rsidR="000C5F97">
        <w:t>y</w:t>
      </w:r>
      <w:r w:rsidR="006C45C0">
        <w:t>.</w:t>
      </w:r>
      <w:r w:rsidR="00584718">
        <w:t xml:space="preserve"> </w:t>
      </w:r>
    </w:p>
    <w:p w:rsidR="00021E4B" w:rsidRDefault="00021E4B" w:rsidP="007F57CC"/>
    <w:p w:rsidR="00021E4B" w:rsidRPr="00A76EA8" w:rsidRDefault="00A76EA8" w:rsidP="007F57CC">
      <w:pPr>
        <w:rPr>
          <w:i/>
        </w:rPr>
      </w:pPr>
      <w:r w:rsidRPr="00A76EA8">
        <w:rPr>
          <w:i/>
        </w:rPr>
        <w:t xml:space="preserve">2. RTE foods not receiving a listericidal </w:t>
      </w:r>
      <w:r w:rsidR="00A40BBD">
        <w:rPr>
          <w:i/>
        </w:rPr>
        <w:t>process</w:t>
      </w:r>
    </w:p>
    <w:p w:rsidR="00021E4B" w:rsidRDefault="00021E4B" w:rsidP="007F57CC"/>
    <w:p w:rsidR="00584718" w:rsidRPr="00584718" w:rsidRDefault="00021E4B" w:rsidP="00977CD8">
      <w:r>
        <w:t>Some foods do not r</w:t>
      </w:r>
      <w:r w:rsidR="00977CD8">
        <w:t xml:space="preserve">eceive a listericidal </w:t>
      </w:r>
      <w:r w:rsidR="00A40BBD">
        <w:t>process</w:t>
      </w:r>
      <w:r w:rsidR="00977CD8">
        <w:t xml:space="preserve"> during </w:t>
      </w:r>
      <w:r w:rsidR="00A40BBD">
        <w:t>manufacture</w:t>
      </w:r>
      <w:r w:rsidR="00977CD8">
        <w:t xml:space="preserve"> (e.g. smoked finfish; </w:t>
      </w:r>
      <w:r w:rsidR="00C060BB">
        <w:t xml:space="preserve">gravadlax finfish; </w:t>
      </w:r>
      <w:r w:rsidR="00977CD8">
        <w:t xml:space="preserve">fresh cuts) and ensuring product safety relies on </w:t>
      </w:r>
      <w:r w:rsidR="00977CD8" w:rsidRPr="00584718">
        <w:t>minimis</w:t>
      </w:r>
      <w:r w:rsidR="00977CD8">
        <w:t>ing</w:t>
      </w:r>
      <w:r w:rsidR="00977CD8" w:rsidRPr="00584718">
        <w:t xml:space="preserve"> or reduc</w:t>
      </w:r>
      <w:r w:rsidR="00977CD8">
        <w:t>ing contamination during primary production, processing and distribution</w:t>
      </w:r>
      <w:r w:rsidR="00D012B5">
        <w:t>,</w:t>
      </w:r>
      <w:r w:rsidR="00977CD8">
        <w:t xml:space="preserve"> and limit</w:t>
      </w:r>
      <w:r w:rsidR="00D012B5">
        <w:t>ing</w:t>
      </w:r>
      <w:r w:rsidR="00977CD8">
        <w:t xml:space="preserve"> growth through maintaining the cold chain and </w:t>
      </w:r>
      <w:r w:rsidR="00D012B5">
        <w:t>restricting</w:t>
      </w:r>
      <w:r w:rsidR="00977CD8">
        <w:t xml:space="preserve"> shelf life. Occasional low level </w:t>
      </w:r>
      <w:r w:rsidR="00C23545">
        <w:t xml:space="preserve">contamination of such products by </w:t>
      </w:r>
      <w:r w:rsidR="00C23545" w:rsidRPr="00C23545">
        <w:rPr>
          <w:i/>
        </w:rPr>
        <w:t>L. monocytogenes</w:t>
      </w:r>
      <w:r w:rsidR="00C23545">
        <w:t xml:space="preserve"> may be unavoidable but may not present a risk if growth cannot occur or is limited within the stated shelf life. </w:t>
      </w:r>
    </w:p>
    <w:p w:rsidR="00131A8F" w:rsidRDefault="00131A8F" w:rsidP="007F57CC"/>
    <w:p w:rsidR="00883847" w:rsidRDefault="00C23545" w:rsidP="007F57CC">
      <w:r>
        <w:t xml:space="preserve">If evidence can be provided that the level of </w:t>
      </w:r>
      <w:r w:rsidRPr="00CE67AB">
        <w:rPr>
          <w:i/>
        </w:rPr>
        <w:t>L. monocytogenes</w:t>
      </w:r>
      <w:r>
        <w:t xml:space="preserve"> </w:t>
      </w:r>
      <w:r w:rsidR="00866D18">
        <w:t xml:space="preserve">is limited </w:t>
      </w:r>
      <w:r w:rsidR="00EE76B2">
        <w:t xml:space="preserve">(less than </w:t>
      </w:r>
      <w:r>
        <w:t>100 cfu/g</w:t>
      </w:r>
      <w:r w:rsidR="00866D18">
        <w:t>)</w:t>
      </w:r>
      <w:r>
        <w:t xml:space="preserve"> </w:t>
      </w:r>
      <w:r w:rsidR="00EE76B2">
        <w:t xml:space="preserve">throughout the stated shelf life </w:t>
      </w:r>
      <w:r>
        <w:t>of these foods</w:t>
      </w:r>
      <w:r w:rsidR="00CC3E97">
        <w:t>,</w:t>
      </w:r>
      <w:r>
        <w:t xml:space="preserve"> then </w:t>
      </w:r>
      <w:r w:rsidR="007F57CC">
        <w:t>a limit of 100 cfu/g applies</w:t>
      </w:r>
      <w:r>
        <w:t xml:space="preserve"> for the purpose of Standard 1.6.1</w:t>
      </w:r>
      <w:r w:rsidR="007F57CC">
        <w:t xml:space="preserve">. </w:t>
      </w:r>
    </w:p>
    <w:p w:rsidR="00500DCE" w:rsidRPr="00CE67AB" w:rsidRDefault="00500DCE" w:rsidP="00CE67AB"/>
    <w:p w:rsidR="00E33D09" w:rsidRDefault="00E33D09" w:rsidP="00BD0DA8">
      <w:pPr>
        <w:pStyle w:val="Heading2"/>
      </w:pPr>
      <w:r w:rsidRPr="003960ED">
        <w:t>Validation</w:t>
      </w:r>
    </w:p>
    <w:p w:rsidR="00BD0DA8" w:rsidRDefault="00BD0DA8" w:rsidP="00DA5FBA">
      <w:pPr>
        <w:rPr>
          <w:rFonts w:cs="Arial"/>
        </w:rPr>
      </w:pPr>
    </w:p>
    <w:p w:rsidR="00BD0DA8" w:rsidRDefault="00292A01" w:rsidP="00DA5FBA">
      <w:pPr>
        <w:rPr>
          <w:rFonts w:cs="Arial"/>
        </w:rPr>
      </w:pPr>
      <w:r>
        <w:rPr>
          <w:rFonts w:cs="Arial"/>
        </w:rPr>
        <w:t>Evidence</w:t>
      </w:r>
      <w:r w:rsidRPr="00E07689">
        <w:rPr>
          <w:rFonts w:cs="Arial"/>
        </w:rPr>
        <w:t xml:space="preserve"> </w:t>
      </w:r>
      <w:r w:rsidR="00817906" w:rsidRPr="00E07689">
        <w:rPr>
          <w:rFonts w:cs="Arial"/>
        </w:rPr>
        <w:t xml:space="preserve">that </w:t>
      </w:r>
      <w:r w:rsidR="00817906" w:rsidRPr="00E07689">
        <w:rPr>
          <w:rFonts w:cs="Arial"/>
          <w:i/>
        </w:rPr>
        <w:t>L. monocytogenes</w:t>
      </w:r>
      <w:r w:rsidR="00817906" w:rsidRPr="00E07689">
        <w:rPr>
          <w:rFonts w:cs="Arial"/>
          <w:i/>
          <w:iCs/>
        </w:rPr>
        <w:t xml:space="preserve"> </w:t>
      </w:r>
      <w:r w:rsidR="00817906" w:rsidRPr="00E07689">
        <w:rPr>
          <w:rFonts w:cs="Arial"/>
        </w:rPr>
        <w:t xml:space="preserve">will not grow in a </w:t>
      </w:r>
      <w:r w:rsidR="00E0190B">
        <w:rPr>
          <w:rFonts w:cs="Arial"/>
        </w:rPr>
        <w:t>RTE</w:t>
      </w:r>
      <w:r w:rsidR="00817906" w:rsidRPr="00E07689">
        <w:rPr>
          <w:rFonts w:cs="Arial"/>
        </w:rPr>
        <w:t xml:space="preserve"> food </w:t>
      </w:r>
      <w:r w:rsidR="007F5592">
        <w:rPr>
          <w:rFonts w:cs="Arial"/>
        </w:rPr>
        <w:t>may</w:t>
      </w:r>
      <w:r w:rsidR="007F5592" w:rsidRPr="00E07689">
        <w:rPr>
          <w:rFonts w:cs="Arial"/>
        </w:rPr>
        <w:t xml:space="preserve"> </w:t>
      </w:r>
      <w:r w:rsidR="00817906" w:rsidRPr="00E07689">
        <w:rPr>
          <w:rFonts w:cs="Arial"/>
        </w:rPr>
        <w:t>be based upon</w:t>
      </w:r>
      <w:r w:rsidR="00BD0DA8">
        <w:rPr>
          <w:rFonts w:cs="Arial"/>
        </w:rPr>
        <w:t>:</w:t>
      </w:r>
    </w:p>
    <w:p w:rsidR="00292A01" w:rsidRDefault="00292A01" w:rsidP="00DA5FBA">
      <w:pPr>
        <w:rPr>
          <w:rFonts w:cs="Arial"/>
        </w:rPr>
      </w:pPr>
    </w:p>
    <w:p w:rsidR="00BD0DA8" w:rsidRDefault="000951AD" w:rsidP="00BD0DA8">
      <w:pPr>
        <w:pStyle w:val="FSBullet1"/>
      </w:pPr>
      <w:r>
        <w:t xml:space="preserve">the </w:t>
      </w:r>
      <w:r w:rsidR="00BD0DA8">
        <w:t xml:space="preserve">physico-chemical characteristics of the </w:t>
      </w:r>
      <w:r w:rsidR="00817906" w:rsidRPr="00E07689">
        <w:t>food</w:t>
      </w:r>
      <w:r w:rsidR="00EB35DD">
        <w:t>;</w:t>
      </w:r>
    </w:p>
    <w:p w:rsidR="00433E18" w:rsidRPr="00433E18" w:rsidRDefault="00433E18" w:rsidP="00433E18">
      <w:pPr>
        <w:pStyle w:val="FSBullet1"/>
      </w:pPr>
      <w:r>
        <w:t>historical information on similar or related products</w:t>
      </w:r>
      <w:r w:rsidR="00EB35DD">
        <w:t>;</w:t>
      </w:r>
    </w:p>
    <w:p w:rsidR="00A75DB5" w:rsidRDefault="00A75DB5" w:rsidP="00A75DB5">
      <w:pPr>
        <w:pStyle w:val="FSBullet1"/>
      </w:pPr>
      <w:r w:rsidRPr="00E07689">
        <w:t>information from the scientific literature and risk assessments</w:t>
      </w:r>
      <w:r w:rsidR="00EB35DD">
        <w:t>;</w:t>
      </w:r>
    </w:p>
    <w:p w:rsidR="00BD0DA8" w:rsidRDefault="00817906" w:rsidP="00BD0DA8">
      <w:pPr>
        <w:pStyle w:val="FSBullet1"/>
      </w:pPr>
      <w:r w:rsidRPr="00E07689">
        <w:t xml:space="preserve">challenge </w:t>
      </w:r>
      <w:r w:rsidR="00BD0DA8">
        <w:t>studie</w:t>
      </w:r>
      <w:r w:rsidRPr="00E07689">
        <w:t>s</w:t>
      </w:r>
      <w:r w:rsidR="00EB35DD">
        <w:t>;</w:t>
      </w:r>
    </w:p>
    <w:p w:rsidR="00C7443D" w:rsidRDefault="00C7443D" w:rsidP="00C7443D">
      <w:pPr>
        <w:pStyle w:val="FSBullet1"/>
      </w:pPr>
      <w:r w:rsidRPr="00E07689">
        <w:t>predictive modelling</w:t>
      </w:r>
      <w:r w:rsidR="00EB35DD">
        <w:t>; or</w:t>
      </w:r>
    </w:p>
    <w:p w:rsidR="00CE67AB" w:rsidRDefault="00CE67AB" w:rsidP="00BD0DA8">
      <w:pPr>
        <w:pStyle w:val="FSBullet1"/>
      </w:pPr>
      <w:r>
        <w:t>a</w:t>
      </w:r>
      <w:r w:rsidR="00817906" w:rsidRPr="00E07689">
        <w:t xml:space="preserve"> combination</w:t>
      </w:r>
      <w:r>
        <w:t xml:space="preserve"> </w:t>
      </w:r>
      <w:r w:rsidR="00817906" w:rsidRPr="00E07689">
        <w:t>of these</w:t>
      </w:r>
      <w:r>
        <w:t xml:space="preserve"> approaches</w:t>
      </w:r>
      <w:r w:rsidR="00817906" w:rsidRPr="00E07689">
        <w:t>.</w:t>
      </w:r>
      <w:r w:rsidR="006C4971" w:rsidRPr="00E07689">
        <w:t xml:space="preserve"> </w:t>
      </w:r>
    </w:p>
    <w:p w:rsidR="00D72BAE" w:rsidRPr="00E07689" w:rsidRDefault="00D72BAE" w:rsidP="00DA5FBA">
      <w:pPr>
        <w:rPr>
          <w:rFonts w:cs="Arial"/>
        </w:rPr>
      </w:pPr>
    </w:p>
    <w:p w:rsidR="00C7443D" w:rsidRDefault="00E24ED0" w:rsidP="003C4265">
      <w:pPr>
        <w:rPr>
          <w:rFonts w:cs="Arial"/>
        </w:rPr>
      </w:pPr>
      <w:r>
        <w:rPr>
          <w:rFonts w:cs="Arial"/>
        </w:rPr>
        <w:t>V</w:t>
      </w:r>
      <w:r w:rsidR="003C4265" w:rsidRPr="00EE5E7E">
        <w:rPr>
          <w:rFonts w:cs="Arial"/>
        </w:rPr>
        <w:t xml:space="preserve">alidation documentation </w:t>
      </w:r>
      <w:r>
        <w:rPr>
          <w:rFonts w:cs="Arial"/>
        </w:rPr>
        <w:t>should</w:t>
      </w:r>
      <w:r w:rsidR="003C4265" w:rsidRPr="00EE5E7E">
        <w:rPr>
          <w:rFonts w:cs="Arial"/>
        </w:rPr>
        <w:t xml:space="preserve"> provide the </w:t>
      </w:r>
      <w:r w:rsidR="00433E18">
        <w:rPr>
          <w:rFonts w:cs="Arial"/>
        </w:rPr>
        <w:t xml:space="preserve">objective evidence that shows </w:t>
      </w:r>
      <w:r w:rsidR="003C4265" w:rsidRPr="00EE5E7E">
        <w:rPr>
          <w:rFonts w:cs="Arial"/>
        </w:rPr>
        <w:t xml:space="preserve">that the product </w:t>
      </w:r>
      <w:r w:rsidR="00CE67AB">
        <w:rPr>
          <w:rFonts w:cs="Arial"/>
        </w:rPr>
        <w:t xml:space="preserve">does not support the growth of </w:t>
      </w:r>
      <w:r w:rsidR="00CE67AB" w:rsidRPr="00CE67AB">
        <w:rPr>
          <w:rFonts w:cs="Arial"/>
          <w:i/>
        </w:rPr>
        <w:t>L. monocytogenes</w:t>
      </w:r>
      <w:r w:rsidR="00CE67AB">
        <w:rPr>
          <w:rFonts w:cs="Arial"/>
        </w:rPr>
        <w:t xml:space="preserve"> or that growth is limited (</w:t>
      </w:r>
      <w:r w:rsidR="00EE76B2">
        <w:rPr>
          <w:rFonts w:cs="Arial"/>
        </w:rPr>
        <w:t xml:space="preserve">less than </w:t>
      </w:r>
      <w:r w:rsidR="00CE67AB">
        <w:rPr>
          <w:rFonts w:cs="Arial"/>
        </w:rPr>
        <w:t>100 cfu/g</w:t>
      </w:r>
      <w:r w:rsidR="00EE76B2">
        <w:rPr>
          <w:rFonts w:cs="Arial"/>
        </w:rPr>
        <w:t xml:space="preserve"> </w:t>
      </w:r>
      <w:r w:rsidR="00EE76B2">
        <w:t>throughout the stated shelf life</w:t>
      </w:r>
      <w:r w:rsidR="00CE67AB">
        <w:rPr>
          <w:rFonts w:cs="Arial"/>
        </w:rPr>
        <w:t xml:space="preserve">) </w:t>
      </w:r>
      <w:r w:rsidR="00CE67AB" w:rsidRPr="00E07689">
        <w:t>under reasonably foreseeable conditions of distribution, storage</w:t>
      </w:r>
      <w:r w:rsidR="00CE67AB">
        <w:t>, retail</w:t>
      </w:r>
      <w:r w:rsidR="00CE67AB" w:rsidRPr="00E07689">
        <w:t xml:space="preserve"> and use</w:t>
      </w:r>
      <w:r w:rsidR="00CE67AB">
        <w:rPr>
          <w:rFonts w:cs="Arial"/>
        </w:rPr>
        <w:t xml:space="preserve">. </w:t>
      </w:r>
    </w:p>
    <w:p w:rsidR="00C7443D" w:rsidRDefault="00C7443D" w:rsidP="003C4265">
      <w:pPr>
        <w:rPr>
          <w:rFonts w:cs="Arial"/>
        </w:rPr>
      </w:pPr>
    </w:p>
    <w:p w:rsidR="00C7443D" w:rsidRPr="00C7443D" w:rsidRDefault="00C7443D" w:rsidP="003C4265">
      <w:pPr>
        <w:rPr>
          <w:rFonts w:cs="Arial"/>
          <w:b/>
        </w:rPr>
      </w:pPr>
      <w:r w:rsidRPr="00C7443D">
        <w:rPr>
          <w:rFonts w:cs="Arial"/>
          <w:b/>
        </w:rPr>
        <w:t>1. Key process parameters</w:t>
      </w:r>
    </w:p>
    <w:p w:rsidR="00C7443D" w:rsidRDefault="00C7443D" w:rsidP="003C4265">
      <w:pPr>
        <w:rPr>
          <w:rFonts w:cs="Arial"/>
        </w:rPr>
      </w:pPr>
    </w:p>
    <w:p w:rsidR="003C4265" w:rsidRDefault="00E37E1C" w:rsidP="003C4265">
      <w:pPr>
        <w:rPr>
          <w:rFonts w:cs="Arial"/>
        </w:rPr>
      </w:pPr>
      <w:r>
        <w:t xml:space="preserve">It is </w:t>
      </w:r>
      <w:r w:rsidR="00C9720F">
        <w:t xml:space="preserve">recommended </w:t>
      </w:r>
      <w:r>
        <w:t xml:space="preserve">that process and production parameters are clearly identified and </w:t>
      </w:r>
      <w:r w:rsidR="004D3EDD">
        <w:t xml:space="preserve">that </w:t>
      </w:r>
      <w:r>
        <w:t xml:space="preserve">evidence as to how these </w:t>
      </w:r>
      <w:r w:rsidR="004D3EDD">
        <w:t xml:space="preserve">parameters </w:t>
      </w:r>
      <w:r>
        <w:t xml:space="preserve">are controlled and </w:t>
      </w:r>
      <w:r w:rsidR="00E704A0">
        <w:t>verified</w:t>
      </w:r>
      <w:r>
        <w:t xml:space="preserve"> is provided. </w:t>
      </w:r>
      <w:r w:rsidR="00CE67AB">
        <w:rPr>
          <w:rFonts w:cs="Arial"/>
        </w:rPr>
        <w:t xml:space="preserve">Information </w:t>
      </w:r>
      <w:r w:rsidR="00433E18">
        <w:rPr>
          <w:rFonts w:cs="Arial"/>
        </w:rPr>
        <w:t xml:space="preserve">about the product </w:t>
      </w:r>
      <w:r w:rsidR="00A75DB5">
        <w:rPr>
          <w:rFonts w:cs="Arial"/>
        </w:rPr>
        <w:t xml:space="preserve">that </w:t>
      </w:r>
      <w:r w:rsidR="00433E18">
        <w:rPr>
          <w:rFonts w:cs="Arial"/>
        </w:rPr>
        <w:t>should be</w:t>
      </w:r>
      <w:r w:rsidR="00CE67AB">
        <w:rPr>
          <w:rFonts w:cs="Arial"/>
        </w:rPr>
        <w:t xml:space="preserve"> </w:t>
      </w:r>
      <w:r w:rsidR="00433E18">
        <w:rPr>
          <w:rFonts w:cs="Arial"/>
        </w:rPr>
        <w:t xml:space="preserve">documented </w:t>
      </w:r>
      <w:r w:rsidR="00A75DB5">
        <w:rPr>
          <w:rFonts w:cs="Arial"/>
        </w:rPr>
        <w:t>include</w:t>
      </w:r>
      <w:r w:rsidR="00433E18">
        <w:rPr>
          <w:rFonts w:cs="Arial"/>
        </w:rPr>
        <w:t>s</w:t>
      </w:r>
      <w:r w:rsidR="00CE67AB">
        <w:rPr>
          <w:rFonts w:cs="Arial"/>
        </w:rPr>
        <w:t>:</w:t>
      </w:r>
      <w:r w:rsidR="00E24ED0">
        <w:rPr>
          <w:rFonts w:cs="Arial"/>
        </w:rPr>
        <w:t xml:space="preserve"> </w:t>
      </w:r>
    </w:p>
    <w:p w:rsidR="00241F99" w:rsidRDefault="00241F99" w:rsidP="00DA5FBA">
      <w:pPr>
        <w:rPr>
          <w:rFonts w:cs="Arial"/>
        </w:rPr>
      </w:pPr>
      <w:r>
        <w:rPr>
          <w:rFonts w:cs="Arial"/>
        </w:rPr>
        <w:br w:type="page"/>
      </w:r>
    </w:p>
    <w:p w:rsidR="00E24ED0" w:rsidRDefault="007A6232" w:rsidP="00E37E1C">
      <w:pPr>
        <w:pStyle w:val="FSBullet1"/>
      </w:pPr>
      <w:r>
        <w:rPr>
          <w:rStyle w:val="FSBullet1Char"/>
        </w:rPr>
        <w:lastRenderedPageBreak/>
        <w:t>s</w:t>
      </w:r>
      <w:r w:rsidR="00E24ED0" w:rsidRPr="00E37E1C">
        <w:rPr>
          <w:rStyle w:val="FSBullet1Char"/>
        </w:rPr>
        <w:t>pecifications for physico</w:t>
      </w:r>
      <w:r w:rsidR="00E37E1C" w:rsidRPr="00E37E1C">
        <w:rPr>
          <w:rStyle w:val="FSBullet1Char"/>
        </w:rPr>
        <w:t>-</w:t>
      </w:r>
      <w:r w:rsidR="00E24ED0" w:rsidRPr="00E37E1C">
        <w:rPr>
          <w:rStyle w:val="FSBullet1Char"/>
        </w:rPr>
        <w:t xml:space="preserve">chemical characteristics of the product, such as pH, </w:t>
      </w:r>
      <w:r w:rsidR="00EE76B2">
        <w:rPr>
          <w:rStyle w:val="FSBullet1Char"/>
        </w:rPr>
        <w:t>water activity (</w:t>
      </w:r>
      <w:r w:rsidR="00E24ED0" w:rsidRPr="00E37E1C">
        <w:rPr>
          <w:rStyle w:val="FSBullet1Char"/>
        </w:rPr>
        <w:t>a</w:t>
      </w:r>
      <w:r w:rsidR="00E24ED0" w:rsidRPr="00BA2BAF">
        <w:rPr>
          <w:rStyle w:val="FSBullet1Char"/>
          <w:vertAlign w:val="subscript"/>
        </w:rPr>
        <w:t>w</w:t>
      </w:r>
      <w:r w:rsidR="00EE76B2" w:rsidRPr="00EE76B2">
        <w:rPr>
          <w:rStyle w:val="FSBullet1Char"/>
        </w:rPr>
        <w:t>)</w:t>
      </w:r>
      <w:r w:rsidR="00E24ED0" w:rsidRPr="00EE76B2">
        <w:rPr>
          <w:rStyle w:val="FSBullet1Char"/>
        </w:rPr>
        <w:t>,</w:t>
      </w:r>
      <w:r w:rsidR="00E24ED0" w:rsidRPr="00E37E1C">
        <w:rPr>
          <w:rStyle w:val="FSBullet1Char"/>
        </w:rPr>
        <w:t xml:space="preserve"> salt</w:t>
      </w:r>
      <w:r w:rsidR="00E24ED0" w:rsidRPr="00417B4F">
        <w:t xml:space="preserve"> content, concentration of preservatives</w:t>
      </w:r>
      <w:r w:rsidR="00EB35DD">
        <w:t>;</w:t>
      </w:r>
      <w:r w:rsidR="00E24ED0" w:rsidRPr="00417B4F">
        <w:t xml:space="preserve"> </w:t>
      </w:r>
    </w:p>
    <w:p w:rsidR="00E24ED0" w:rsidRDefault="007A6232" w:rsidP="00E37E1C">
      <w:pPr>
        <w:pStyle w:val="FSBullet1"/>
      </w:pPr>
      <w:r>
        <w:t>t</w:t>
      </w:r>
      <w:r w:rsidR="00E37E1C">
        <w:t>he</w:t>
      </w:r>
      <w:r w:rsidR="00E24ED0">
        <w:t xml:space="preserve"> key process parameters </w:t>
      </w:r>
      <w:r w:rsidR="00E37E1C">
        <w:t>at each stage of production</w:t>
      </w:r>
      <w:r w:rsidR="00E24ED0" w:rsidRPr="00E24ED0">
        <w:t xml:space="preserve"> </w:t>
      </w:r>
    </w:p>
    <w:p w:rsidR="00E24ED0" w:rsidRDefault="00E24ED0" w:rsidP="00217365">
      <w:pPr>
        <w:pStyle w:val="ListParagraph"/>
        <w:numPr>
          <w:ilvl w:val="1"/>
          <w:numId w:val="15"/>
        </w:numPr>
        <w:tabs>
          <w:tab w:val="left" w:pos="1134"/>
        </w:tabs>
        <w:autoSpaceDE w:val="0"/>
        <w:autoSpaceDN w:val="0"/>
        <w:adjustRightInd w:val="0"/>
        <w:ind w:left="1134" w:hanging="567"/>
        <w:rPr>
          <w:rFonts w:cs="Arial"/>
        </w:rPr>
      </w:pPr>
      <w:r w:rsidRPr="00EE5E7E">
        <w:rPr>
          <w:rFonts w:cs="Arial"/>
        </w:rPr>
        <w:t xml:space="preserve">concentration of </w:t>
      </w:r>
      <w:r w:rsidRPr="00EE5E7E">
        <w:rPr>
          <w:rFonts w:cs="Arial"/>
          <w:i/>
        </w:rPr>
        <w:t>L. monocytogenes</w:t>
      </w:r>
      <w:r w:rsidRPr="00EE5E7E">
        <w:rPr>
          <w:rFonts w:cs="Arial"/>
        </w:rPr>
        <w:t xml:space="preserve"> at the beginning of the shelf-life of the RTE product, pH, a</w:t>
      </w:r>
      <w:r w:rsidRPr="00EE5E7E">
        <w:rPr>
          <w:rFonts w:cs="Arial"/>
          <w:vertAlign w:val="subscript"/>
        </w:rPr>
        <w:t>w</w:t>
      </w:r>
      <w:r w:rsidRPr="00EE5E7E">
        <w:rPr>
          <w:rFonts w:cs="Arial"/>
        </w:rPr>
        <w:t xml:space="preserve">, washing conditions, smoking </w:t>
      </w:r>
      <w:r w:rsidR="0038547E">
        <w:rPr>
          <w:rFonts w:cs="Arial"/>
        </w:rPr>
        <w:t xml:space="preserve">or preserving </w:t>
      </w:r>
      <w:r w:rsidRPr="00EE5E7E">
        <w:rPr>
          <w:rFonts w:cs="Arial"/>
        </w:rPr>
        <w:t>conditions etc</w:t>
      </w:r>
      <w:r w:rsidR="00EB35DD">
        <w:rPr>
          <w:rFonts w:cs="Arial"/>
        </w:rPr>
        <w:t>;</w:t>
      </w:r>
    </w:p>
    <w:p w:rsidR="00E37E1C" w:rsidRDefault="007A6232" w:rsidP="00E37E1C">
      <w:pPr>
        <w:pStyle w:val="FSBullet1"/>
      </w:pPr>
      <w:r>
        <w:t>t</w:t>
      </w:r>
      <w:r w:rsidR="00E37E1C">
        <w:t>he control measures in place to ensure product and process parameters are met and how these are verified</w:t>
      </w:r>
      <w:r w:rsidR="00EB35DD">
        <w:t>;</w:t>
      </w:r>
    </w:p>
    <w:p w:rsidR="003C4265" w:rsidRPr="00EE5E7E" w:rsidRDefault="007A6232" w:rsidP="00E37E1C">
      <w:pPr>
        <w:pStyle w:val="FSBullet1"/>
      </w:pPr>
      <w:r>
        <w:t>i</w:t>
      </w:r>
      <w:r w:rsidR="003C4265" w:rsidRPr="00EE5E7E">
        <w:t>dentification of each ingredient including its effective concentration</w:t>
      </w:r>
      <w:r w:rsidR="00EB35DD">
        <w:t>;</w:t>
      </w:r>
    </w:p>
    <w:p w:rsidR="003C4265" w:rsidRDefault="003C4265" w:rsidP="00217365">
      <w:pPr>
        <w:pStyle w:val="ListParagraph"/>
        <w:numPr>
          <w:ilvl w:val="1"/>
          <w:numId w:val="15"/>
        </w:numPr>
        <w:ind w:left="1134" w:hanging="567"/>
        <w:rPr>
          <w:rFonts w:cs="Arial"/>
        </w:rPr>
      </w:pPr>
      <w:r w:rsidRPr="00EE5E7E">
        <w:rPr>
          <w:rFonts w:cs="Arial"/>
        </w:rPr>
        <w:t>permitted antibacterial agents, water activity depressants (sugar, salt, etc), pH reducing agents (vinegar, organic acids, etc)</w:t>
      </w:r>
      <w:r w:rsidR="00EB35DD">
        <w:rPr>
          <w:rFonts w:cs="Arial"/>
        </w:rPr>
        <w:t>; and</w:t>
      </w:r>
    </w:p>
    <w:p w:rsidR="00815BA4" w:rsidRDefault="007A6232" w:rsidP="00E37E1C">
      <w:pPr>
        <w:pStyle w:val="FSBullet1"/>
      </w:pPr>
      <w:r>
        <w:t>t</w:t>
      </w:r>
      <w:r w:rsidR="00815BA4">
        <w:t>he t</w:t>
      </w:r>
      <w:r w:rsidR="00815BA4" w:rsidRPr="00417B4F">
        <w:t>ype of packaging system</w:t>
      </w:r>
      <w:r w:rsidR="00815BA4" w:rsidRPr="00815BA4">
        <w:t xml:space="preserve"> </w:t>
      </w:r>
      <w:r w:rsidR="0095287F">
        <w:t xml:space="preserve">used </w:t>
      </w:r>
      <w:r w:rsidR="00815BA4" w:rsidRPr="00417B4F">
        <w:t>taking into account the storage and processing conditions</w:t>
      </w:r>
      <w:r w:rsidR="00815BA4">
        <w:t xml:space="preserve"> and</w:t>
      </w:r>
      <w:r w:rsidR="00815BA4" w:rsidRPr="00417B4F">
        <w:t xml:space="preserve"> the possibilities for contamination</w:t>
      </w:r>
      <w:r w:rsidR="0095287F">
        <w:t>.</w:t>
      </w:r>
    </w:p>
    <w:p w:rsidR="00C7443D" w:rsidRPr="00C7443D" w:rsidRDefault="00C7443D" w:rsidP="00C7443D"/>
    <w:p w:rsidR="00C7443D" w:rsidRPr="00C7443D" w:rsidRDefault="00C7443D" w:rsidP="00C7443D">
      <w:pPr>
        <w:rPr>
          <w:b/>
        </w:rPr>
      </w:pPr>
      <w:r>
        <w:rPr>
          <w:b/>
        </w:rPr>
        <w:t xml:space="preserve">2. </w:t>
      </w:r>
      <w:r w:rsidRPr="00C7443D">
        <w:rPr>
          <w:b/>
        </w:rPr>
        <w:t>Scientific literature</w:t>
      </w:r>
    </w:p>
    <w:p w:rsidR="00C7443D" w:rsidRPr="00C7443D" w:rsidRDefault="00C7443D" w:rsidP="00C7443D">
      <w:pPr>
        <w:rPr>
          <w:rFonts w:cs="Arial"/>
        </w:rPr>
      </w:pPr>
    </w:p>
    <w:p w:rsidR="00E704A0" w:rsidRDefault="001518B6" w:rsidP="00E704A0">
      <w:r>
        <w:rPr>
          <w:rFonts w:cs="Arial"/>
        </w:rPr>
        <w:t xml:space="preserve">A review of the scientific literature is useful to provide information on the possible level of </w:t>
      </w:r>
      <w:r w:rsidR="00910F7C">
        <w:rPr>
          <w:rFonts w:cs="Arial"/>
        </w:rPr>
        <w:br/>
      </w:r>
      <w:r w:rsidRPr="00E704A0">
        <w:rPr>
          <w:rFonts w:cs="Arial"/>
          <w:i/>
        </w:rPr>
        <w:t>L. monocytogenes</w:t>
      </w:r>
      <w:r>
        <w:rPr>
          <w:rFonts w:cs="Arial"/>
        </w:rPr>
        <w:t xml:space="preserve"> </w:t>
      </w:r>
      <w:r w:rsidR="00E704A0">
        <w:rPr>
          <w:rFonts w:cs="Arial"/>
        </w:rPr>
        <w:t xml:space="preserve">contamination that could be expected and its growth profile in the food product being considered as well as similar products. </w:t>
      </w:r>
      <w:r w:rsidR="00E704A0">
        <w:t xml:space="preserve">Reference to published challenge studies may be useful in providing evidence on the factors that inhibit growth of </w:t>
      </w:r>
      <w:r w:rsidR="00910F7C">
        <w:br/>
      </w:r>
      <w:r w:rsidR="00E704A0" w:rsidRPr="00E704A0">
        <w:rPr>
          <w:i/>
        </w:rPr>
        <w:t>L. monocytogenes</w:t>
      </w:r>
      <w:r w:rsidR="00E704A0">
        <w:t>.</w:t>
      </w:r>
      <w:r w:rsidR="00E704A0" w:rsidRPr="00BC465B">
        <w:rPr>
          <w:rFonts w:cs="Arial"/>
        </w:rPr>
        <w:t xml:space="preserve"> </w:t>
      </w:r>
    </w:p>
    <w:p w:rsidR="00C7443D" w:rsidRPr="00C7443D" w:rsidRDefault="00C7443D" w:rsidP="00C7443D">
      <w:pPr>
        <w:rPr>
          <w:rFonts w:cs="Arial"/>
        </w:rPr>
      </w:pPr>
    </w:p>
    <w:p w:rsidR="00C7443D" w:rsidRPr="00641AB7" w:rsidRDefault="00E37E1C" w:rsidP="00C7443D">
      <w:pPr>
        <w:rPr>
          <w:rFonts w:cs="Arial"/>
          <w:b/>
        </w:rPr>
      </w:pPr>
      <w:r>
        <w:rPr>
          <w:rFonts w:cs="Arial"/>
          <w:b/>
        </w:rPr>
        <w:t xml:space="preserve">3. </w:t>
      </w:r>
      <w:r w:rsidR="00C7443D" w:rsidRPr="00641AB7">
        <w:rPr>
          <w:rFonts w:cs="Arial"/>
          <w:b/>
        </w:rPr>
        <w:t>Challenge studies</w:t>
      </w:r>
    </w:p>
    <w:p w:rsidR="00C7443D" w:rsidRDefault="00C7443D" w:rsidP="00C7443D">
      <w:pPr>
        <w:rPr>
          <w:rFonts w:cs="Arial"/>
        </w:rPr>
      </w:pPr>
    </w:p>
    <w:p w:rsidR="00C7443D" w:rsidRPr="00E24ED0" w:rsidRDefault="00C7443D" w:rsidP="00C7443D">
      <w:pPr>
        <w:rPr>
          <w:rFonts w:cs="Arial"/>
        </w:rPr>
      </w:pPr>
      <w:r w:rsidRPr="00E24ED0">
        <w:rPr>
          <w:rFonts w:cs="Arial"/>
        </w:rPr>
        <w:t xml:space="preserve">Challenge studies provide information on the response of pathogens (growth and inactivation) to changes in the intrinsic physio-chemical parameters and impact of production and processing factors. The design of a challenge study </w:t>
      </w:r>
      <w:r w:rsidR="008B65C0">
        <w:rPr>
          <w:rFonts w:cs="Arial"/>
        </w:rPr>
        <w:t xml:space="preserve">should </w:t>
      </w:r>
      <w:r w:rsidRPr="00E24ED0">
        <w:rPr>
          <w:rFonts w:cs="Arial"/>
        </w:rPr>
        <w:t>adequately reflect the processes used to make the RTE food product.</w:t>
      </w:r>
    </w:p>
    <w:p w:rsidR="00C7443D" w:rsidRDefault="00C7443D" w:rsidP="00C7443D">
      <w:pPr>
        <w:rPr>
          <w:rFonts w:cs="Arial"/>
        </w:rPr>
      </w:pPr>
    </w:p>
    <w:p w:rsidR="00C7443D" w:rsidRPr="001F355B" w:rsidRDefault="00C7443D" w:rsidP="00C7443D">
      <w:pPr>
        <w:rPr>
          <w:rFonts w:cs="Arial"/>
        </w:rPr>
      </w:pPr>
      <w:r w:rsidRPr="001F355B">
        <w:rPr>
          <w:rFonts w:cs="Arial"/>
        </w:rPr>
        <w:t xml:space="preserve">There are a number of existing resources available </w:t>
      </w:r>
      <w:r w:rsidR="00BA2BAF">
        <w:rPr>
          <w:rFonts w:cs="Arial"/>
        </w:rPr>
        <w:t>to assist in the conduct of</w:t>
      </w:r>
      <w:r w:rsidRPr="001F355B">
        <w:rPr>
          <w:rFonts w:cs="Arial"/>
        </w:rPr>
        <w:t xml:space="preserve"> challeng</w:t>
      </w:r>
      <w:r w:rsidR="00BA2BAF">
        <w:rPr>
          <w:rFonts w:cs="Arial"/>
        </w:rPr>
        <w:t>e</w:t>
      </w:r>
      <w:r w:rsidRPr="001F355B">
        <w:rPr>
          <w:rFonts w:cs="Arial"/>
        </w:rPr>
        <w:t xml:space="preserve"> and shelf life studies </w:t>
      </w:r>
      <w:r>
        <w:rPr>
          <w:rFonts w:cs="Arial"/>
        </w:rPr>
        <w:t>for</w:t>
      </w:r>
      <w:r w:rsidRPr="001F355B">
        <w:rPr>
          <w:rFonts w:cs="Arial"/>
        </w:rPr>
        <w:t xml:space="preserve"> </w:t>
      </w:r>
      <w:r w:rsidR="00FE2EDE" w:rsidRPr="001F355B">
        <w:rPr>
          <w:rFonts w:cs="Arial"/>
          <w:i/>
        </w:rPr>
        <w:t>L</w:t>
      </w:r>
      <w:r w:rsidR="00FE2EDE">
        <w:rPr>
          <w:rFonts w:cs="Arial"/>
          <w:i/>
        </w:rPr>
        <w:t>.</w:t>
      </w:r>
      <w:r w:rsidR="00FE2EDE" w:rsidRPr="001F355B">
        <w:rPr>
          <w:rFonts w:cs="Arial"/>
          <w:i/>
        </w:rPr>
        <w:t xml:space="preserve"> </w:t>
      </w:r>
      <w:r w:rsidRPr="001F355B">
        <w:rPr>
          <w:rFonts w:cs="Arial"/>
          <w:i/>
        </w:rPr>
        <w:t>monocytogenes</w:t>
      </w:r>
      <w:r w:rsidRPr="001F355B">
        <w:rPr>
          <w:rFonts w:cs="Arial"/>
        </w:rPr>
        <w:t xml:space="preserve"> in RTE foods</w:t>
      </w:r>
      <w:r>
        <w:rPr>
          <w:rFonts w:cs="Arial"/>
        </w:rPr>
        <w:t>, including:</w:t>
      </w:r>
    </w:p>
    <w:p w:rsidR="00C7443D" w:rsidRDefault="00C7443D" w:rsidP="00C7443D">
      <w:pPr>
        <w:rPr>
          <w:rFonts w:cs="Arial"/>
        </w:rPr>
      </w:pPr>
    </w:p>
    <w:p w:rsidR="00A26DA2" w:rsidRDefault="00A26DA2" w:rsidP="00A26DA2">
      <w:pPr>
        <w:pStyle w:val="FSBullet1"/>
      </w:pPr>
      <w:r w:rsidRPr="00A26DA2">
        <w:rPr>
          <w:i/>
        </w:rPr>
        <w:t>Listeria monocytogenes Challenge Testing of Ready-to-Eat Refrigerated Foods</w:t>
      </w:r>
      <w:r>
        <w:t xml:space="preserve"> (Health Canada, 2012)</w:t>
      </w:r>
    </w:p>
    <w:p w:rsidR="00A26DA2" w:rsidRPr="00A26DA2" w:rsidRDefault="00A26DA2" w:rsidP="00A26DA2"/>
    <w:p w:rsidR="00A26DA2" w:rsidRDefault="006142D7" w:rsidP="006142D7">
      <w:pPr>
        <w:pStyle w:val="FSBullet1"/>
      </w:pPr>
      <w:r>
        <w:t xml:space="preserve">Guidance document on </w:t>
      </w:r>
      <w:r w:rsidRPr="006C45C0">
        <w:rPr>
          <w:i/>
        </w:rPr>
        <w:t>Listeria monocytogenes</w:t>
      </w:r>
      <w:r>
        <w:t xml:space="preserve"> shelf-life studies for ready-to-eat foods, under Regulation (EC) No 2073/2005 of 15 November 2005 on microbiological criteria for foodstuffs (Commission of the European Communities, 2008)</w:t>
      </w:r>
    </w:p>
    <w:p w:rsidR="00A26DA2" w:rsidRPr="001F355B" w:rsidRDefault="00A26DA2" w:rsidP="00C7443D">
      <w:pPr>
        <w:rPr>
          <w:rFonts w:cs="Arial"/>
        </w:rPr>
      </w:pPr>
    </w:p>
    <w:p w:rsidR="00C7443D" w:rsidRDefault="00A237A4" w:rsidP="00A237A4">
      <w:pPr>
        <w:pStyle w:val="FSBullet1"/>
      </w:pPr>
      <w:r>
        <w:t xml:space="preserve">Shelf life of ready-to-eat food in relation to </w:t>
      </w:r>
      <w:r w:rsidRPr="006C45C0">
        <w:rPr>
          <w:i/>
        </w:rPr>
        <w:t>L. monocytogenes</w:t>
      </w:r>
      <w:r>
        <w:t xml:space="preserve"> – Guidance for food business operators</w:t>
      </w:r>
      <w:r w:rsidR="008B4D83">
        <w:t xml:space="preserve"> (Chilled Food Association, 2010)</w:t>
      </w:r>
    </w:p>
    <w:p w:rsidR="00C7443D" w:rsidRPr="001F355B" w:rsidRDefault="00C7443D" w:rsidP="00C7443D">
      <w:pPr>
        <w:rPr>
          <w:rFonts w:cs="Arial"/>
        </w:rPr>
      </w:pPr>
      <w:r w:rsidRPr="001F355B">
        <w:rPr>
          <w:rFonts w:cs="Arial"/>
        </w:rPr>
        <w:fldChar w:fldCharType="begin"/>
      </w:r>
      <w:r w:rsidRPr="001F355B">
        <w:rPr>
          <w:rFonts w:cs="Arial"/>
        </w:rPr>
        <w:instrText xml:space="preserve"> ADDIN REFMGR.CITE &lt;Refman&gt;&lt;Cite&gt;&lt;Author&gt;CFA&lt;/Author&gt;&lt;Year&gt;2010&lt;/Year&gt;&lt;RecNum&gt;4127&lt;/RecNum&gt;&lt;IDText&gt;Shelf life of ready to eat food in relation to L. monocytogenes - Guidance for food business operators&lt;/IDText&gt;&lt;MDL Ref_Type="Report"&gt;&lt;Ref_Type&gt;Report&lt;/Ref_Type&gt;&lt;Ref_ID&gt;4127&lt;/Ref_ID&gt;&lt;Title_Primary&gt;Shelf life of ready to eat food in relation to &lt;i&gt;L. monocytogenes &lt;/i&gt;- Guidance for food business operators&lt;/Title_Primary&gt;&lt;Authors_Primary&gt;CFA&lt;/Authors_Primary&gt;&lt;Date_Primary&gt;2010&lt;/Date_Primary&gt;&lt;Keywords&gt;FOOD&lt;/Keywords&gt;&lt;Keywords&gt;MONOCYTOGENES&lt;/Keywords&gt;&lt;Reprint&gt;Not in File&lt;/Reprint&gt;&lt;Publisher&gt;Chilled Food Association&lt;/Publisher&gt;&lt;Date_Secondary&gt;2012/6/14&lt;/Date_Secondary&gt;&lt;Web_URL&gt;&lt;u&gt;http://www.chilledfood.org/MEDIA/NEWS/2010/New+Shelf+Life+Guidance+for+Ready+to+Eat+Foods&lt;/u&gt;&lt;/Web_URL&gt;&lt;ZZ_WorkformID&gt;24&lt;/ZZ_WorkformID&gt;&lt;/MDL&gt;&lt;/Cite&gt;&lt;/Refman&gt;</w:instrText>
      </w:r>
      <w:r w:rsidRPr="001F355B">
        <w:rPr>
          <w:rFonts w:cs="Arial"/>
        </w:rPr>
        <w:fldChar w:fldCharType="end"/>
      </w:r>
      <w:r w:rsidRPr="001F355B">
        <w:rPr>
          <w:rFonts w:cs="Arial"/>
        </w:rPr>
        <w:t xml:space="preserve"> </w:t>
      </w:r>
    </w:p>
    <w:p w:rsidR="00C7443D" w:rsidRDefault="00C7443D" w:rsidP="00C7443D">
      <w:pPr>
        <w:rPr>
          <w:rFonts w:cs="Arial"/>
        </w:rPr>
      </w:pPr>
      <w:r>
        <w:rPr>
          <w:rFonts w:cs="Arial"/>
        </w:rPr>
        <w:t xml:space="preserve">In addition, </w:t>
      </w:r>
      <w:r w:rsidR="00B61264">
        <w:rPr>
          <w:rFonts w:cs="Arial"/>
        </w:rPr>
        <w:t>the NSW Food Authority has produced a guidance document on shelf life testing with respect the establishment of ‘use-by’ dates that provides useful information:</w:t>
      </w:r>
      <w:r w:rsidR="00A26DA2">
        <w:rPr>
          <w:rFonts w:cs="Arial"/>
        </w:rPr>
        <w:t xml:space="preserve"> Shelf life testing, ‘Use-by’ dates for food safety (NSW Food Authority, 2010).</w:t>
      </w:r>
    </w:p>
    <w:p w:rsidR="00040923" w:rsidRDefault="00040923" w:rsidP="00A75DB5">
      <w:pPr>
        <w:rPr>
          <w:rFonts w:cs="Arial"/>
          <w:b/>
        </w:rPr>
      </w:pPr>
    </w:p>
    <w:p w:rsidR="00A75DB5" w:rsidRPr="00C93524" w:rsidRDefault="00E37E1C" w:rsidP="00A75DB5">
      <w:pPr>
        <w:rPr>
          <w:rFonts w:cs="Arial"/>
          <w:b/>
        </w:rPr>
      </w:pPr>
      <w:r>
        <w:rPr>
          <w:rFonts w:cs="Arial"/>
          <w:b/>
        </w:rPr>
        <w:t xml:space="preserve">4. </w:t>
      </w:r>
      <w:r w:rsidR="00A75DB5" w:rsidRPr="00C93524">
        <w:rPr>
          <w:rFonts w:cs="Arial"/>
          <w:b/>
        </w:rPr>
        <w:t xml:space="preserve">Predictive </w:t>
      </w:r>
      <w:r w:rsidR="00A75DB5">
        <w:rPr>
          <w:rFonts w:cs="Arial"/>
          <w:b/>
        </w:rPr>
        <w:t>microbiological</w:t>
      </w:r>
      <w:r w:rsidR="00A75DB5" w:rsidRPr="00C93524">
        <w:rPr>
          <w:rFonts w:cs="Arial"/>
          <w:b/>
        </w:rPr>
        <w:t xml:space="preserve"> model</w:t>
      </w:r>
      <w:r w:rsidR="00A75DB5">
        <w:rPr>
          <w:rFonts w:cs="Arial"/>
          <w:b/>
        </w:rPr>
        <w:t>s</w:t>
      </w:r>
    </w:p>
    <w:p w:rsidR="00A75DB5" w:rsidRDefault="00A75DB5" w:rsidP="00A75DB5">
      <w:pPr>
        <w:rPr>
          <w:rFonts w:cs="Arial"/>
        </w:rPr>
      </w:pPr>
    </w:p>
    <w:p w:rsidR="00A75DB5" w:rsidRPr="007B6C4D" w:rsidRDefault="00A75DB5" w:rsidP="00A75DB5">
      <w:r w:rsidRPr="00C93524">
        <w:rPr>
          <w:sz w:val="23"/>
          <w:szCs w:val="23"/>
        </w:rPr>
        <w:t>Predictive models that are validated, robust and built upon scientifically sound data can play an important role</w:t>
      </w:r>
      <w:r>
        <w:rPr>
          <w:sz w:val="23"/>
          <w:szCs w:val="23"/>
        </w:rPr>
        <w:t>,</w:t>
      </w:r>
      <w:r w:rsidRPr="00C93524">
        <w:rPr>
          <w:sz w:val="23"/>
          <w:szCs w:val="23"/>
        </w:rPr>
        <w:t xml:space="preserve"> along with other supporting information, in determining if a given product formulation or process will reduce the likelihood of </w:t>
      </w:r>
      <w:r w:rsidRPr="00C93524">
        <w:rPr>
          <w:i/>
          <w:iCs/>
          <w:sz w:val="23"/>
          <w:szCs w:val="23"/>
        </w:rPr>
        <w:t xml:space="preserve">Listeria </w:t>
      </w:r>
      <w:r w:rsidR="00EE76B2" w:rsidRPr="00EE76B2">
        <w:rPr>
          <w:iCs/>
          <w:sz w:val="23"/>
          <w:szCs w:val="23"/>
        </w:rPr>
        <w:t>spp.</w:t>
      </w:r>
      <w:r w:rsidR="00EE76B2">
        <w:rPr>
          <w:i/>
          <w:iCs/>
          <w:sz w:val="23"/>
          <w:szCs w:val="23"/>
        </w:rPr>
        <w:t xml:space="preserve"> </w:t>
      </w:r>
      <w:r w:rsidRPr="00C93524">
        <w:rPr>
          <w:sz w:val="23"/>
          <w:szCs w:val="23"/>
        </w:rPr>
        <w:t>presence or growth.</w:t>
      </w:r>
    </w:p>
    <w:p w:rsidR="00A75DB5" w:rsidRDefault="00A75DB5" w:rsidP="00A75DB5">
      <w:pPr>
        <w:rPr>
          <w:rFonts w:cs="Arial"/>
        </w:rPr>
      </w:pPr>
    </w:p>
    <w:p w:rsidR="00A75DB5" w:rsidRDefault="00A75DB5" w:rsidP="00A75DB5">
      <w:pPr>
        <w:rPr>
          <w:rFonts w:cs="Arial"/>
        </w:rPr>
      </w:pPr>
      <w:r>
        <w:rPr>
          <w:rFonts w:cs="Arial"/>
        </w:rPr>
        <w:t>A number of predictive microbiological models are freely available on the internet, including:</w:t>
      </w:r>
    </w:p>
    <w:p w:rsidR="00241F99" w:rsidRDefault="00241F99" w:rsidP="00A75DB5">
      <w:pPr>
        <w:rPr>
          <w:rFonts w:cs="Arial"/>
        </w:rPr>
      </w:pPr>
      <w:r>
        <w:rPr>
          <w:rFonts w:cs="Arial"/>
        </w:rPr>
        <w:br w:type="page"/>
      </w:r>
    </w:p>
    <w:p w:rsidR="00A75DB5" w:rsidRDefault="00A75DB5" w:rsidP="00A75DB5">
      <w:pPr>
        <w:pStyle w:val="ListParagraph"/>
        <w:numPr>
          <w:ilvl w:val="0"/>
          <w:numId w:val="28"/>
        </w:numPr>
        <w:ind w:left="567" w:hanging="567"/>
      </w:pPr>
      <w:r>
        <w:lastRenderedPageBreak/>
        <w:t xml:space="preserve">Meljholm and Dalgaard (2009) developed a growth rate and growth boundary model for </w:t>
      </w:r>
      <w:r w:rsidRPr="007E7159">
        <w:rPr>
          <w:i/>
        </w:rPr>
        <w:t>L</w:t>
      </w:r>
      <w:r>
        <w:t xml:space="preserve">. </w:t>
      </w:r>
      <w:r w:rsidRPr="007E7159">
        <w:rPr>
          <w:i/>
        </w:rPr>
        <w:t>monocytogenes</w:t>
      </w:r>
      <w:r>
        <w:t xml:space="preserve"> in RTE shrimp (Seafood Spoilage and Safety Predictor). The model includes 12 factors and their interactive effects of relevance to the prediction of the probability of growth: temperature, salt, pH, six  acids (acetic acid, benzoic acid, citric acid, diacetate,</w:t>
      </w:r>
      <w:r w:rsidRPr="00B96888">
        <w:t xml:space="preserve"> </w:t>
      </w:r>
      <w:r>
        <w:t>lactic acid and sorbic acid), smoke components (phenol), CO</w:t>
      </w:r>
      <w:r w:rsidRPr="007E7159">
        <w:rPr>
          <w:vertAlign w:val="subscript"/>
        </w:rPr>
        <w:t>2</w:t>
      </w:r>
      <w:r>
        <w:t xml:space="preserve"> in head space gas at equilibrium and nitrite. This model has been validated for meat products, seafood products, poultry products and non-fermented dairy foods (e.g. milk, cream and ice cream) (Mejlholm et al, 2010).</w:t>
      </w:r>
    </w:p>
    <w:p w:rsidR="00A75DB5" w:rsidRDefault="00A75DB5" w:rsidP="00A75DB5">
      <w:pPr>
        <w:pStyle w:val="ListParagraph"/>
        <w:ind w:left="567"/>
      </w:pPr>
    </w:p>
    <w:p w:rsidR="00A75DB5" w:rsidRDefault="00A75DB5" w:rsidP="00A75DB5">
      <w:pPr>
        <w:pStyle w:val="ListParagraph"/>
        <w:numPr>
          <w:ilvl w:val="0"/>
          <w:numId w:val="28"/>
        </w:numPr>
        <w:ind w:left="567" w:hanging="567"/>
      </w:pPr>
      <w:r>
        <w:t>Augustin et al. (2005) evaluated the performance of eight growth rate and probability of growth/no growth models using a combination of temperature, pH, the main acid present in the medium, water activity, nitrite, phenol and the proportion of CO</w:t>
      </w:r>
      <w:r w:rsidRPr="00F16028">
        <w:rPr>
          <w:vertAlign w:val="subscript"/>
        </w:rPr>
        <w:t>2</w:t>
      </w:r>
      <w:r>
        <w:t xml:space="preserve"> in the modified atmosphere as factors.</w:t>
      </w:r>
    </w:p>
    <w:p w:rsidR="00A75DB5" w:rsidRDefault="00A75DB5" w:rsidP="00A75DB5"/>
    <w:p w:rsidR="00A75DB5" w:rsidRDefault="000A0773" w:rsidP="00A75DB5">
      <w:pPr>
        <w:pStyle w:val="ListParagraph"/>
        <w:numPr>
          <w:ilvl w:val="0"/>
          <w:numId w:val="28"/>
        </w:numPr>
        <w:ind w:left="567" w:hanging="567"/>
      </w:pPr>
      <w:r>
        <w:t xml:space="preserve">ComBase (2012) </w:t>
      </w:r>
      <w:r w:rsidR="00A75DB5">
        <w:t xml:space="preserve">is a freely available </w:t>
      </w:r>
      <w:r w:rsidR="00A75DB5" w:rsidRPr="004F5EBD">
        <w:t>database of observed microbial responses to a variety of food-related environments and a collection of relevant predictive models</w:t>
      </w:r>
      <w:r w:rsidR="00A75DB5">
        <w:t xml:space="preserve">. </w:t>
      </w:r>
      <w:r w:rsidR="00C1291F">
        <w:t>M</w:t>
      </w:r>
      <w:r w:rsidR="00A75DB5">
        <w:t xml:space="preserve">odels are </w:t>
      </w:r>
      <w:r w:rsidR="00C1291F">
        <w:t xml:space="preserve">also </w:t>
      </w:r>
      <w:r w:rsidR="00A75DB5">
        <w:t xml:space="preserve">available </w:t>
      </w:r>
      <w:r w:rsidR="00B0445B">
        <w:t xml:space="preserve">(ComBase Predictor) </w:t>
      </w:r>
      <w:r w:rsidR="00A75DB5">
        <w:t xml:space="preserve">to predict the response of </w:t>
      </w:r>
      <w:r w:rsidR="00340C95">
        <w:br w:type="textWrapping" w:clear="all"/>
      </w:r>
      <w:r w:rsidR="00A75DB5" w:rsidRPr="00D012B5">
        <w:rPr>
          <w:i/>
        </w:rPr>
        <w:t>L. monocytogenes</w:t>
      </w:r>
      <w:r w:rsidR="00A75DB5">
        <w:t xml:space="preserve"> to key factors such as </w:t>
      </w:r>
      <w:r w:rsidR="00A75DB5" w:rsidRPr="00EA7A53">
        <w:t>temperature, pH and salt concentration</w:t>
      </w:r>
      <w:r w:rsidR="00A75DB5">
        <w:t xml:space="preserve"> in combination with organic acids, nitrite and carbon monoxide. The </w:t>
      </w:r>
      <w:r w:rsidR="00A75DB5" w:rsidRPr="00EA7A53">
        <w:t>models are based on output</w:t>
      </w:r>
      <w:r w:rsidR="00A75DB5">
        <w:t>s</w:t>
      </w:r>
      <w:r w:rsidR="00A75DB5" w:rsidRPr="00EA7A53">
        <w:t xml:space="preserve"> from laboratory experiments observed in culture media under well controlled laboratory conditions.</w:t>
      </w:r>
      <w:r w:rsidR="00A75DB5">
        <w:t xml:space="preserve"> </w:t>
      </w:r>
    </w:p>
    <w:p w:rsidR="00A75DB5" w:rsidRDefault="00A75DB5" w:rsidP="00A75DB5"/>
    <w:p w:rsidR="00A75DB5" w:rsidRDefault="00A75DB5" w:rsidP="00A75DB5">
      <w:pPr>
        <w:pStyle w:val="ListParagraph"/>
        <w:numPr>
          <w:ilvl w:val="0"/>
          <w:numId w:val="28"/>
        </w:numPr>
        <w:ind w:left="567" w:hanging="567"/>
      </w:pPr>
      <w:r>
        <w:t>The USDA</w:t>
      </w:r>
      <w:r w:rsidR="004D6EF1">
        <w:t xml:space="preserve"> Pathogen Modelling Program (USDA, 2013) </w:t>
      </w:r>
      <w:r w:rsidRPr="004F5EBD">
        <w:t>is a package of models that can be used to predict the growth and inactivation of foodborne bacteria, primarily pathogens, under variou</w:t>
      </w:r>
      <w:r>
        <w:t>s environmental conditions. Th</w:t>
      </w:r>
      <w:r w:rsidRPr="004F5EBD">
        <w:t>e predictions are specific to certain bacterial strains and specific environments (e.g., culture media, food, etc.) that were used to generate the models.</w:t>
      </w:r>
    </w:p>
    <w:p w:rsidR="00A75DB5" w:rsidRDefault="00A75DB5" w:rsidP="00A75DB5"/>
    <w:p w:rsidR="00A75DB5" w:rsidRDefault="00A75DB5" w:rsidP="00A75DB5">
      <w:r>
        <w:t>Use of these models requires specialised technical skills and knowledge for correct utilisation and interpretation of results.</w:t>
      </w:r>
      <w:r w:rsidRPr="005335B7">
        <w:t xml:space="preserve"> </w:t>
      </w:r>
      <w:r>
        <w:t xml:space="preserve">Additionally, each model has inherent limitations which </w:t>
      </w:r>
      <w:r w:rsidR="00D25167">
        <w:t xml:space="preserve">need to </w:t>
      </w:r>
      <w:r>
        <w:t xml:space="preserve">be known and understood by the user. </w:t>
      </w:r>
      <w:r w:rsidR="00AC4539">
        <w:t>For example, modelling programs may not extend to the impact of certain preservatives and specialised technical expertise may be required to evaluate preservative efficacy.</w:t>
      </w:r>
    </w:p>
    <w:p w:rsidR="00040923" w:rsidRDefault="00040923" w:rsidP="00A75DB5"/>
    <w:p w:rsidR="00040923" w:rsidRDefault="00040923" w:rsidP="00A75DB5">
      <w:r>
        <w:t xml:space="preserve">Predictions from models are based on observations largely made in artificial growth medium and available studies. </w:t>
      </w:r>
      <w:r w:rsidR="00BD04BD">
        <w:t>U</w:t>
      </w:r>
      <w:r>
        <w:t>nderstand</w:t>
      </w:r>
      <w:r w:rsidR="00BD04BD">
        <w:t>ing</w:t>
      </w:r>
      <w:r>
        <w:t xml:space="preserve"> how </w:t>
      </w:r>
      <w:r w:rsidRPr="00040923">
        <w:rPr>
          <w:i/>
        </w:rPr>
        <w:t>L. monocytogenes</w:t>
      </w:r>
      <w:r>
        <w:t xml:space="preserve"> will behave in a specific product may require a challenge test.</w:t>
      </w:r>
    </w:p>
    <w:p w:rsidR="004F5EBD" w:rsidRPr="004F5EBD" w:rsidRDefault="004F5EBD" w:rsidP="006A099D"/>
    <w:p w:rsidR="007472CC" w:rsidRPr="00417390" w:rsidRDefault="007472CC" w:rsidP="00125576">
      <w:pPr>
        <w:rPr>
          <w:rFonts w:cs="Arial"/>
          <w:b/>
          <w:i/>
        </w:rPr>
      </w:pPr>
      <w:r w:rsidRPr="00417390">
        <w:rPr>
          <w:rFonts w:cs="Arial"/>
          <w:b/>
          <w:i/>
        </w:rPr>
        <w:t>Further information</w:t>
      </w:r>
    </w:p>
    <w:p w:rsidR="00FE2EDE" w:rsidRDefault="00FE2EDE" w:rsidP="001F355B">
      <w:pPr>
        <w:rPr>
          <w:rFonts w:cs="Arial"/>
        </w:rPr>
      </w:pPr>
    </w:p>
    <w:p w:rsidR="009A0109" w:rsidRDefault="00125576" w:rsidP="001F355B">
      <w:pPr>
        <w:rPr>
          <w:rFonts w:cs="Arial"/>
        </w:rPr>
      </w:pPr>
      <w:r w:rsidRPr="00EE5E7E">
        <w:rPr>
          <w:rFonts w:cs="Arial"/>
        </w:rPr>
        <w:t>Further information regarding validati</w:t>
      </w:r>
      <w:r w:rsidR="00EE5E7E" w:rsidRPr="00EE5E7E">
        <w:rPr>
          <w:rFonts w:cs="Arial"/>
        </w:rPr>
        <w:t>ng food safety measures</w:t>
      </w:r>
      <w:r w:rsidRPr="00EE5E7E">
        <w:rPr>
          <w:rFonts w:cs="Arial"/>
        </w:rPr>
        <w:t xml:space="preserve"> can be found in </w:t>
      </w:r>
      <w:r w:rsidR="00EE5E7E" w:rsidRPr="00EE5E7E">
        <w:rPr>
          <w:rFonts w:cs="Arial"/>
        </w:rPr>
        <w:t xml:space="preserve">the Codex document </w:t>
      </w:r>
      <w:r w:rsidRPr="00EE5E7E">
        <w:rPr>
          <w:rFonts w:cs="Arial"/>
          <w:i/>
        </w:rPr>
        <w:t>Guidelines for the Validation of Food Safety Control Measures</w:t>
      </w:r>
      <w:r w:rsidRPr="00EE5E7E">
        <w:rPr>
          <w:rFonts w:cs="Arial"/>
        </w:rPr>
        <w:t xml:space="preserve"> </w:t>
      </w:r>
      <w:r w:rsidR="00266173">
        <w:rPr>
          <w:rFonts w:cs="Arial"/>
        </w:rPr>
        <w:t>(Codex, 2008).</w:t>
      </w:r>
    </w:p>
    <w:p w:rsidR="00BC0200" w:rsidRDefault="00BC0200" w:rsidP="009A0109">
      <w:pPr>
        <w:rPr>
          <w:rFonts w:cs="Arial"/>
        </w:rPr>
      </w:pPr>
    </w:p>
    <w:p w:rsidR="00065E0F" w:rsidRDefault="00065E0F" w:rsidP="00BD0DA8">
      <w:pPr>
        <w:pStyle w:val="Heading2"/>
      </w:pPr>
      <w:r w:rsidRPr="007E7159">
        <w:t>Sampling and analysis</w:t>
      </w:r>
    </w:p>
    <w:p w:rsidR="00237043" w:rsidRDefault="00237043">
      <w:pPr>
        <w:rPr>
          <w:rFonts w:cs="Arial"/>
        </w:rPr>
      </w:pPr>
    </w:p>
    <w:p w:rsidR="00E21353" w:rsidRDefault="00E21353">
      <w:pPr>
        <w:rPr>
          <w:rFonts w:cs="Arial"/>
        </w:rPr>
      </w:pPr>
      <w:r>
        <w:rPr>
          <w:rFonts w:cs="Arial"/>
        </w:rPr>
        <w:t>Standard 1.6.1 stipulate</w:t>
      </w:r>
      <w:r w:rsidR="00AE0EDC">
        <w:rPr>
          <w:rFonts w:cs="Arial"/>
        </w:rPr>
        <w:t xml:space="preserve">s two </w:t>
      </w:r>
      <w:r w:rsidR="00EE76B2">
        <w:rPr>
          <w:rFonts w:cs="Arial"/>
        </w:rPr>
        <w:t>(</w:t>
      </w:r>
      <w:r w:rsidR="00AE0EDC">
        <w:rPr>
          <w:rFonts w:cs="Arial"/>
        </w:rPr>
        <w:t>2</w:t>
      </w:r>
      <w:r w:rsidR="00EE76B2">
        <w:rPr>
          <w:rFonts w:cs="Arial"/>
        </w:rPr>
        <w:t>)</w:t>
      </w:r>
      <w:r w:rsidR="00AE0EDC">
        <w:rPr>
          <w:rFonts w:cs="Arial"/>
        </w:rPr>
        <w:t xml:space="preserve"> class sampling plans for </w:t>
      </w:r>
      <w:r w:rsidR="00AE0EDC" w:rsidRPr="00AE0EDC">
        <w:rPr>
          <w:rFonts w:cs="Arial"/>
          <w:i/>
        </w:rPr>
        <w:t>L. monocytogenes</w:t>
      </w:r>
      <w:r w:rsidR="00AE0EDC">
        <w:rPr>
          <w:rFonts w:cs="Arial"/>
        </w:rPr>
        <w:t xml:space="preserve"> in RTE foods based on whether the food supports the growth or does not support the growth</w:t>
      </w:r>
      <w:r w:rsidR="00113F10">
        <w:rPr>
          <w:rFonts w:cs="Arial"/>
        </w:rPr>
        <w:t xml:space="preserve"> according to the</w:t>
      </w:r>
      <w:r w:rsidR="008E781C">
        <w:rPr>
          <w:rFonts w:cs="Arial"/>
        </w:rPr>
        <w:t xml:space="preserve"> methods prescribed by</w:t>
      </w:r>
      <w:r w:rsidR="00113F10">
        <w:rPr>
          <w:rFonts w:cs="Arial"/>
        </w:rPr>
        <w:t xml:space="preserve"> </w:t>
      </w:r>
      <w:r w:rsidR="008E781C">
        <w:rPr>
          <w:rFonts w:cs="Arial"/>
        </w:rPr>
        <w:t xml:space="preserve">Australian Standard </w:t>
      </w:r>
      <w:r w:rsidR="00113F10">
        <w:rPr>
          <w:rFonts w:cs="Arial"/>
        </w:rPr>
        <w:t>AS</w:t>
      </w:r>
      <w:r w:rsidR="008E781C">
        <w:rPr>
          <w:rFonts w:cs="Arial"/>
        </w:rPr>
        <w:t xml:space="preserve"> 5013</w:t>
      </w:r>
      <w:r w:rsidR="008B4114">
        <w:rPr>
          <w:rFonts w:cs="Arial"/>
        </w:rPr>
        <w:t xml:space="preserve"> (or </w:t>
      </w:r>
      <w:r w:rsidR="008B4114" w:rsidRPr="00D367F7">
        <w:rPr>
          <w:rFonts w:cs="Arial"/>
        </w:rPr>
        <w:t>corresponding</w:t>
      </w:r>
      <w:r w:rsidR="008B4114">
        <w:rPr>
          <w:rFonts w:cs="Arial"/>
        </w:rPr>
        <w:t xml:space="preserve"> ISO Standard)</w:t>
      </w:r>
      <w:r w:rsidR="008E781C">
        <w:rPr>
          <w:rFonts w:cs="Arial"/>
        </w:rPr>
        <w:t xml:space="preserve">:  </w:t>
      </w:r>
    </w:p>
    <w:p w:rsidR="008E781C" w:rsidRDefault="008E781C">
      <w:pPr>
        <w:rPr>
          <w:rFonts w:cs="Arial"/>
        </w:rPr>
      </w:pPr>
    </w:p>
    <w:p w:rsidR="00E21353" w:rsidRDefault="00E21353" w:rsidP="00E21353">
      <w:pPr>
        <w:pStyle w:val="FSBullet1"/>
      </w:pPr>
      <w:r w:rsidRPr="00050EF5">
        <w:rPr>
          <w:i/>
        </w:rPr>
        <w:t>L. monocytogenes</w:t>
      </w:r>
      <w:r>
        <w:t xml:space="preserve"> not detected </w:t>
      </w:r>
      <w:r w:rsidR="00050EF5">
        <w:t>(</w:t>
      </w:r>
      <w:r>
        <w:t xml:space="preserve">5 </w:t>
      </w:r>
      <w:r w:rsidR="00050EF5">
        <w:t xml:space="preserve">x </w:t>
      </w:r>
      <w:r>
        <w:t>25</w:t>
      </w:r>
      <w:r w:rsidR="00FE2EDE">
        <w:t xml:space="preserve"> </w:t>
      </w:r>
      <w:r>
        <w:t xml:space="preserve">g </w:t>
      </w:r>
      <w:r w:rsidR="00050EF5">
        <w:t>analytical units)</w:t>
      </w:r>
      <w:r>
        <w:t xml:space="preserve"> with reference method </w:t>
      </w:r>
      <w:r w:rsidR="00050EF5">
        <w:t xml:space="preserve">AS5013.24.1-2009 Food microbiology – Microbiology of food and animal feeding stuffs – Horizontal method for the detection and enumeration of </w:t>
      </w:r>
      <w:r w:rsidR="00050EF5" w:rsidRPr="00050EF5">
        <w:rPr>
          <w:i/>
        </w:rPr>
        <w:t>Listeria monocytogenes</w:t>
      </w:r>
      <w:r w:rsidR="00050EF5">
        <w:t xml:space="preserve"> – Detection method (ISO 11290-1: 1996, MOD).</w:t>
      </w:r>
    </w:p>
    <w:p w:rsidR="00241F99" w:rsidRDefault="00241F99" w:rsidP="00050EF5">
      <w:r>
        <w:br w:type="page"/>
      </w:r>
    </w:p>
    <w:p w:rsidR="00050EF5" w:rsidRPr="00050EF5" w:rsidRDefault="00050EF5" w:rsidP="00050EF5">
      <w:pPr>
        <w:pStyle w:val="FSBullet1"/>
      </w:pPr>
      <w:r w:rsidRPr="00050EF5">
        <w:rPr>
          <w:i/>
        </w:rPr>
        <w:lastRenderedPageBreak/>
        <w:t>L. monocytogenes</w:t>
      </w:r>
      <w:r>
        <w:t xml:space="preserve"> </w:t>
      </w:r>
      <w:r w:rsidR="008E781C">
        <w:t xml:space="preserve">not exceeding </w:t>
      </w:r>
      <w:r>
        <w:t>100 cfu/g (5 x 10</w:t>
      </w:r>
      <w:r w:rsidR="00FE2EDE">
        <w:t xml:space="preserve"> </w:t>
      </w:r>
      <w:r>
        <w:t xml:space="preserve">g analytical units) with reference method </w:t>
      </w:r>
      <w:r w:rsidR="00113F10">
        <w:t xml:space="preserve">(under the AS 5013 series) </w:t>
      </w:r>
      <w:r>
        <w:t>A</w:t>
      </w:r>
      <w:r w:rsidR="00113F10">
        <w:t>S</w:t>
      </w:r>
      <w:r>
        <w:t xml:space="preserve"> 5013.24.2-2009 Food Microbiology – Microbiology of food and animal feeding stuffs – Horizontal method for the detection and enumeration of </w:t>
      </w:r>
      <w:r w:rsidRPr="00050EF5">
        <w:rPr>
          <w:i/>
        </w:rPr>
        <w:t>Listeria monocytogenes</w:t>
      </w:r>
      <w:r>
        <w:t xml:space="preserve"> – Enumeration method (ISO 11290-2: 1998, MOD).</w:t>
      </w:r>
    </w:p>
    <w:p w:rsidR="00E21353" w:rsidRDefault="00E21353">
      <w:pPr>
        <w:rPr>
          <w:rFonts w:cs="Arial"/>
        </w:rPr>
      </w:pPr>
    </w:p>
    <w:p w:rsidR="00101D10" w:rsidRDefault="00DA1ED5">
      <w:pPr>
        <w:rPr>
          <w:rFonts w:cs="Arial"/>
        </w:rPr>
      </w:pPr>
      <w:r>
        <w:rPr>
          <w:rFonts w:cs="Arial"/>
        </w:rPr>
        <w:t>When sampling for</w:t>
      </w:r>
      <w:r w:rsidR="005F3E14">
        <w:rPr>
          <w:rFonts w:cs="Arial"/>
        </w:rPr>
        <w:t xml:space="preserve"> the purposes of</w:t>
      </w:r>
      <w:r>
        <w:rPr>
          <w:rFonts w:cs="Arial"/>
        </w:rPr>
        <w:t xml:space="preserve"> </w:t>
      </w:r>
      <w:r w:rsidR="005F3E14">
        <w:rPr>
          <w:rFonts w:cs="Arial"/>
        </w:rPr>
        <w:t xml:space="preserve">complying with </w:t>
      </w:r>
      <w:r w:rsidR="00101D10">
        <w:rPr>
          <w:rFonts w:cs="Arial"/>
        </w:rPr>
        <w:t xml:space="preserve">Standard 1.6.1, </w:t>
      </w:r>
      <w:r w:rsidR="00B47C63">
        <w:rPr>
          <w:rFonts w:cs="Arial"/>
        </w:rPr>
        <w:t xml:space="preserve">it is recommended that </w:t>
      </w:r>
      <w:r w:rsidR="005F3E14">
        <w:rPr>
          <w:rFonts w:cs="Arial"/>
        </w:rPr>
        <w:t xml:space="preserve">five </w:t>
      </w:r>
      <w:r w:rsidR="00101D10">
        <w:rPr>
          <w:rFonts w:cs="Arial"/>
        </w:rPr>
        <w:t>sample units of at least 100</w:t>
      </w:r>
      <w:r w:rsidR="00FE2EDE">
        <w:rPr>
          <w:rFonts w:cs="Arial"/>
        </w:rPr>
        <w:t xml:space="preserve"> </w:t>
      </w:r>
      <w:r w:rsidR="00101D10">
        <w:rPr>
          <w:rFonts w:cs="Arial"/>
        </w:rPr>
        <w:t>g</w:t>
      </w:r>
      <w:r w:rsidR="00A139CE">
        <w:rPr>
          <w:rFonts w:cs="Arial"/>
        </w:rPr>
        <w:t xml:space="preserve"> or </w:t>
      </w:r>
      <w:r w:rsidR="004E04DE">
        <w:rPr>
          <w:rFonts w:cs="Arial"/>
        </w:rPr>
        <w:t xml:space="preserve">mL </w:t>
      </w:r>
      <w:r w:rsidR="00101D10">
        <w:rPr>
          <w:rFonts w:cs="Arial"/>
        </w:rPr>
        <w:t>be taken at random</w:t>
      </w:r>
      <w:r w:rsidR="00B47C63">
        <w:rPr>
          <w:rFonts w:cs="Arial"/>
        </w:rPr>
        <w:t xml:space="preserve"> and</w:t>
      </w:r>
      <w:r w:rsidR="00101D10">
        <w:rPr>
          <w:rFonts w:cs="Arial"/>
        </w:rPr>
        <w:t xml:space="preserve"> be representative of the lot or production conditions.</w:t>
      </w:r>
    </w:p>
    <w:p w:rsidR="00101D10" w:rsidRDefault="00101D10">
      <w:pPr>
        <w:rPr>
          <w:rFonts w:cs="Arial"/>
        </w:rPr>
      </w:pPr>
    </w:p>
    <w:p w:rsidR="00D55A21" w:rsidRDefault="001A45B4">
      <w:pPr>
        <w:rPr>
          <w:rFonts w:cs="Arial"/>
        </w:rPr>
      </w:pPr>
      <w:r>
        <w:rPr>
          <w:rFonts w:cs="Arial"/>
        </w:rPr>
        <w:t>Prior to submitting samples for analysis</w:t>
      </w:r>
      <w:r w:rsidR="00C90D42">
        <w:rPr>
          <w:rFonts w:cs="Arial"/>
        </w:rPr>
        <w:t>,</w:t>
      </w:r>
      <w:r>
        <w:rPr>
          <w:rFonts w:cs="Arial"/>
        </w:rPr>
        <w:t xml:space="preserve"> </w:t>
      </w:r>
      <w:r w:rsidR="001C29D9">
        <w:rPr>
          <w:rFonts w:cs="Arial"/>
        </w:rPr>
        <w:t xml:space="preserve">consideration </w:t>
      </w:r>
      <w:r>
        <w:rPr>
          <w:rFonts w:cs="Arial"/>
        </w:rPr>
        <w:t xml:space="preserve">needs to </w:t>
      </w:r>
      <w:r w:rsidR="001C29D9">
        <w:rPr>
          <w:rFonts w:cs="Arial"/>
        </w:rPr>
        <w:t xml:space="preserve">be given as to what limit </w:t>
      </w:r>
      <w:r w:rsidR="00866D18">
        <w:rPr>
          <w:rFonts w:cs="Arial"/>
        </w:rPr>
        <w:t xml:space="preserve">should </w:t>
      </w:r>
      <w:r w:rsidR="001C29D9">
        <w:rPr>
          <w:rFonts w:cs="Arial"/>
        </w:rPr>
        <w:t>appl</w:t>
      </w:r>
      <w:r w:rsidR="00866D18">
        <w:rPr>
          <w:rFonts w:cs="Arial"/>
        </w:rPr>
        <w:t>y</w:t>
      </w:r>
      <w:r w:rsidR="001C29D9">
        <w:rPr>
          <w:rFonts w:cs="Arial"/>
        </w:rPr>
        <w:t xml:space="preserve"> and</w:t>
      </w:r>
      <w:r>
        <w:rPr>
          <w:rFonts w:cs="Arial"/>
        </w:rPr>
        <w:t>,</w:t>
      </w:r>
      <w:r w:rsidR="001C29D9">
        <w:rPr>
          <w:rFonts w:cs="Arial"/>
        </w:rPr>
        <w:t xml:space="preserve"> therefore, whether enrichment (detection) </w:t>
      </w:r>
      <w:r w:rsidR="00D55A21">
        <w:rPr>
          <w:rFonts w:cs="Arial"/>
        </w:rPr>
        <w:t>and/</w:t>
      </w:r>
      <w:r w:rsidR="001C29D9">
        <w:rPr>
          <w:rFonts w:cs="Arial"/>
        </w:rPr>
        <w:t>or a plating method is to be used</w:t>
      </w:r>
      <w:r w:rsidR="00C90D42">
        <w:rPr>
          <w:rFonts w:cs="Arial"/>
        </w:rPr>
        <w:t xml:space="preserve">; </w:t>
      </w:r>
      <w:r>
        <w:rPr>
          <w:rFonts w:cs="Arial"/>
        </w:rPr>
        <w:t>as well as the time taken for testing</w:t>
      </w:r>
      <w:r w:rsidR="00D55A21">
        <w:rPr>
          <w:rFonts w:cs="Arial"/>
        </w:rPr>
        <w:t xml:space="preserve"> (which may have implications for when a lot is released to the market)</w:t>
      </w:r>
      <w:r>
        <w:rPr>
          <w:rFonts w:cs="Arial"/>
        </w:rPr>
        <w:t xml:space="preserve">. </w:t>
      </w:r>
      <w:r w:rsidR="00C90D42">
        <w:rPr>
          <w:rFonts w:cs="Arial"/>
        </w:rPr>
        <w:t xml:space="preserve">It is recommended that food </w:t>
      </w:r>
      <w:r w:rsidR="00D55A21">
        <w:rPr>
          <w:rFonts w:cs="Arial"/>
        </w:rPr>
        <w:t xml:space="preserve">businesses develop procedures for sampling and analysis, including details on any hold and test procedures and corrective actions. </w:t>
      </w:r>
    </w:p>
    <w:p w:rsidR="00D55A21" w:rsidRDefault="00D55A21">
      <w:pPr>
        <w:rPr>
          <w:rFonts w:cs="Arial"/>
        </w:rPr>
      </w:pPr>
    </w:p>
    <w:p w:rsidR="000E651E" w:rsidRDefault="000E651E">
      <w:pPr>
        <w:spacing w:after="200" w:line="276" w:lineRule="auto"/>
        <w:rPr>
          <w:b/>
          <w:i/>
        </w:rPr>
      </w:pPr>
      <w:r>
        <w:rPr>
          <w:b/>
          <w:i/>
        </w:rPr>
        <w:br w:type="page"/>
      </w:r>
    </w:p>
    <w:p w:rsidR="00D95584" w:rsidRPr="00AC7124" w:rsidRDefault="00D95584" w:rsidP="00AC7124">
      <w:pPr>
        <w:pStyle w:val="Heading2"/>
      </w:pPr>
      <w:r w:rsidRPr="00AC7124">
        <w:lastRenderedPageBreak/>
        <w:t>References</w:t>
      </w:r>
    </w:p>
    <w:p w:rsidR="004C11B9" w:rsidRDefault="004C11B9" w:rsidP="008758D6"/>
    <w:p w:rsidR="008B4D83" w:rsidRDefault="002C597E" w:rsidP="00CA574B">
      <w:pPr>
        <w:tabs>
          <w:tab w:val="left" w:pos="0"/>
        </w:tabs>
        <w:rPr>
          <w:noProof/>
          <w:sz w:val="20"/>
          <w:szCs w:val="20"/>
        </w:rPr>
      </w:pPr>
      <w:r>
        <w:rPr>
          <w:noProof/>
          <w:sz w:val="20"/>
          <w:szCs w:val="20"/>
        </w:rPr>
        <w:t xml:space="preserve">Augustin J-C, Zuliani V, Cornu M, Guillier L (2005) </w:t>
      </w:r>
      <w:r w:rsidRPr="00C2355C">
        <w:rPr>
          <w:noProof/>
          <w:sz w:val="20"/>
          <w:szCs w:val="20"/>
        </w:rPr>
        <w:t xml:space="preserve">Growth rate and growth probability of </w:t>
      </w:r>
      <w:r w:rsidRPr="00C2355C">
        <w:rPr>
          <w:i/>
          <w:noProof/>
          <w:sz w:val="20"/>
          <w:szCs w:val="20"/>
        </w:rPr>
        <w:t>Listeria</w:t>
      </w:r>
      <w:r>
        <w:rPr>
          <w:noProof/>
          <w:sz w:val="20"/>
          <w:szCs w:val="20"/>
        </w:rPr>
        <w:t xml:space="preserve"> </w:t>
      </w:r>
      <w:r w:rsidRPr="00C2355C">
        <w:rPr>
          <w:i/>
          <w:noProof/>
          <w:sz w:val="20"/>
          <w:szCs w:val="20"/>
        </w:rPr>
        <w:t>monocytogenes</w:t>
      </w:r>
      <w:r>
        <w:rPr>
          <w:noProof/>
          <w:sz w:val="20"/>
          <w:szCs w:val="20"/>
        </w:rPr>
        <w:t xml:space="preserve"> </w:t>
      </w:r>
      <w:r w:rsidRPr="00C2355C">
        <w:rPr>
          <w:noProof/>
          <w:sz w:val="20"/>
          <w:szCs w:val="20"/>
        </w:rPr>
        <w:t>in dairy, meat and seafood products in suboptimal conditions</w:t>
      </w:r>
      <w:r>
        <w:rPr>
          <w:noProof/>
          <w:sz w:val="20"/>
          <w:szCs w:val="20"/>
        </w:rPr>
        <w:t xml:space="preserve">. </w:t>
      </w:r>
      <w:r w:rsidRPr="005E4335">
        <w:rPr>
          <w:noProof/>
          <w:sz w:val="20"/>
          <w:szCs w:val="20"/>
        </w:rPr>
        <w:t>J</w:t>
      </w:r>
      <w:r>
        <w:rPr>
          <w:noProof/>
          <w:sz w:val="20"/>
          <w:szCs w:val="20"/>
        </w:rPr>
        <w:t>ournal of</w:t>
      </w:r>
      <w:r w:rsidRPr="005E4335">
        <w:rPr>
          <w:noProof/>
          <w:sz w:val="20"/>
          <w:szCs w:val="20"/>
        </w:rPr>
        <w:t xml:space="preserve"> Appl</w:t>
      </w:r>
      <w:r>
        <w:rPr>
          <w:noProof/>
          <w:sz w:val="20"/>
          <w:szCs w:val="20"/>
        </w:rPr>
        <w:t>ied</w:t>
      </w:r>
      <w:r w:rsidRPr="005E4335">
        <w:rPr>
          <w:noProof/>
          <w:sz w:val="20"/>
          <w:szCs w:val="20"/>
        </w:rPr>
        <w:t xml:space="preserve"> Microbiol</w:t>
      </w:r>
      <w:r>
        <w:rPr>
          <w:noProof/>
          <w:sz w:val="20"/>
          <w:szCs w:val="20"/>
        </w:rPr>
        <w:t>ogy</w:t>
      </w:r>
      <w:r w:rsidRPr="005E4335">
        <w:rPr>
          <w:noProof/>
          <w:sz w:val="20"/>
          <w:szCs w:val="20"/>
        </w:rPr>
        <w:t xml:space="preserve"> </w:t>
      </w:r>
      <w:r>
        <w:rPr>
          <w:noProof/>
          <w:sz w:val="20"/>
          <w:szCs w:val="20"/>
        </w:rPr>
        <w:t>99:1019-1042</w:t>
      </w:r>
    </w:p>
    <w:p w:rsidR="00CA574B" w:rsidRDefault="00CA574B" w:rsidP="00CA574B">
      <w:pPr>
        <w:tabs>
          <w:tab w:val="left" w:pos="0"/>
        </w:tabs>
        <w:rPr>
          <w:noProof/>
          <w:sz w:val="20"/>
          <w:szCs w:val="20"/>
        </w:rPr>
      </w:pPr>
    </w:p>
    <w:p w:rsidR="00FA630A" w:rsidRDefault="008B4D83" w:rsidP="004C11B9">
      <w:pPr>
        <w:tabs>
          <w:tab w:val="left" w:pos="0"/>
        </w:tabs>
        <w:spacing w:after="240"/>
        <w:rPr>
          <w:noProof/>
          <w:sz w:val="20"/>
          <w:szCs w:val="20"/>
        </w:rPr>
      </w:pPr>
      <w:r>
        <w:rPr>
          <w:noProof/>
          <w:sz w:val="20"/>
          <w:szCs w:val="20"/>
        </w:rPr>
        <w:t xml:space="preserve">Chilled Food Association (2010) Shelf life of ready-to-eat food in relation to </w:t>
      </w:r>
      <w:r w:rsidRPr="00CA574B">
        <w:rPr>
          <w:i/>
          <w:noProof/>
          <w:sz w:val="20"/>
          <w:szCs w:val="20"/>
        </w:rPr>
        <w:t>L. monocytogenes</w:t>
      </w:r>
      <w:r>
        <w:rPr>
          <w:noProof/>
          <w:sz w:val="20"/>
          <w:szCs w:val="20"/>
        </w:rPr>
        <w:t xml:space="preserve"> – Guidance for food business operators v 1.1.1. Chilled Food Association, Kettering, United Kingdom. </w:t>
      </w:r>
      <w:hyperlink r:id="rId12" w:history="1">
        <w:r w:rsidR="00CA574B" w:rsidRPr="00163529">
          <w:rPr>
            <w:rStyle w:val="Hyperlink"/>
            <w:noProof/>
            <w:sz w:val="20"/>
            <w:szCs w:val="20"/>
          </w:rPr>
          <w:t>http://www.chilledfood.org</w:t>
        </w:r>
      </w:hyperlink>
      <w:r w:rsidR="00CA574B">
        <w:rPr>
          <w:noProof/>
          <w:sz w:val="20"/>
          <w:szCs w:val="20"/>
        </w:rPr>
        <w:t xml:space="preserve"> </w:t>
      </w:r>
      <w:r>
        <w:rPr>
          <w:noProof/>
          <w:sz w:val="20"/>
          <w:szCs w:val="20"/>
        </w:rPr>
        <w:t xml:space="preserve"> </w:t>
      </w:r>
    </w:p>
    <w:p w:rsidR="006D2B33" w:rsidRPr="00CA574B" w:rsidRDefault="006D2B33" w:rsidP="006D2B33">
      <w:pPr>
        <w:tabs>
          <w:tab w:val="left" w:pos="0"/>
        </w:tabs>
        <w:spacing w:after="240"/>
        <w:rPr>
          <w:noProof/>
          <w:sz w:val="20"/>
          <w:szCs w:val="20"/>
        </w:rPr>
      </w:pPr>
      <w:r w:rsidRPr="006D2B33">
        <w:rPr>
          <w:noProof/>
          <w:sz w:val="20"/>
          <w:szCs w:val="20"/>
        </w:rPr>
        <w:t xml:space="preserve">Codex (2007) Guidelines on the Application of General Principals of Food Hygiene on the Control of </w:t>
      </w:r>
      <w:r w:rsidRPr="006D2B33">
        <w:rPr>
          <w:i/>
          <w:noProof/>
          <w:sz w:val="20"/>
          <w:szCs w:val="20"/>
        </w:rPr>
        <w:t>Listeria monocytogenes</w:t>
      </w:r>
      <w:r w:rsidRPr="006D2B33">
        <w:rPr>
          <w:noProof/>
          <w:sz w:val="20"/>
          <w:szCs w:val="20"/>
        </w:rPr>
        <w:t xml:space="preserve"> in Foods (CAC/GL 61 - 2007). Codex Alimentarius Commission, Geneva, Switzerland.</w:t>
      </w:r>
      <w:r w:rsidRPr="006D2B33">
        <w:rPr>
          <w:rFonts w:eastAsia="Times New Roman" w:cs="Arial"/>
        </w:rPr>
        <w:t xml:space="preserve"> </w:t>
      </w:r>
      <w:hyperlink r:id="rId13" w:history="1">
        <w:r w:rsidRPr="00CA574B">
          <w:rPr>
            <w:rStyle w:val="Hyperlink"/>
            <w:rFonts w:eastAsia="Times New Roman" w:cs="Arial"/>
            <w:sz w:val="20"/>
            <w:szCs w:val="20"/>
          </w:rPr>
          <w:t>http://www.codexalimentarius.org/standards/list-of-standards/</w:t>
        </w:r>
      </w:hyperlink>
      <w:r w:rsidRPr="00CA574B">
        <w:rPr>
          <w:rFonts w:eastAsia="Times New Roman" w:cs="Arial"/>
          <w:sz w:val="20"/>
          <w:szCs w:val="20"/>
        </w:rPr>
        <w:t xml:space="preserve"> </w:t>
      </w:r>
      <w:r w:rsidR="00AA0DDF" w:rsidRPr="00CA574B">
        <w:rPr>
          <w:rFonts w:eastAsia="Times New Roman" w:cs="Arial"/>
          <w:sz w:val="20"/>
          <w:szCs w:val="20"/>
        </w:rPr>
        <w:t xml:space="preserve"> </w:t>
      </w:r>
    </w:p>
    <w:p w:rsidR="00266173" w:rsidRPr="00266173" w:rsidRDefault="00266173" w:rsidP="00266173">
      <w:pPr>
        <w:tabs>
          <w:tab w:val="left" w:pos="0"/>
        </w:tabs>
        <w:rPr>
          <w:rFonts w:cs="Arial"/>
          <w:sz w:val="20"/>
          <w:szCs w:val="20"/>
        </w:rPr>
      </w:pPr>
      <w:r>
        <w:rPr>
          <w:rFonts w:cs="Arial"/>
          <w:sz w:val="20"/>
          <w:szCs w:val="20"/>
        </w:rPr>
        <w:t xml:space="preserve">Codex (2008) </w:t>
      </w:r>
      <w:r w:rsidRPr="00266173">
        <w:rPr>
          <w:rFonts w:cs="Arial"/>
          <w:sz w:val="20"/>
          <w:szCs w:val="20"/>
        </w:rPr>
        <w:t>Guidelines for the Validation of Food Safety Control Measures</w:t>
      </w:r>
      <w:r>
        <w:rPr>
          <w:rFonts w:cs="Arial"/>
          <w:sz w:val="20"/>
          <w:szCs w:val="20"/>
        </w:rPr>
        <w:t xml:space="preserve"> (CAC/GL 69-2008). Codex Alimentarius Commission, Geneva, Switzerland. </w:t>
      </w:r>
      <w:hyperlink r:id="rId14" w:history="1">
        <w:r w:rsidRPr="00CA574B">
          <w:rPr>
            <w:rStyle w:val="Hyperlink"/>
            <w:rFonts w:eastAsia="Times New Roman" w:cs="Arial"/>
            <w:sz w:val="20"/>
            <w:szCs w:val="20"/>
          </w:rPr>
          <w:t>http://www.codexalimentarius.org/standards/list-of-standards/</w:t>
        </w:r>
      </w:hyperlink>
      <w:r w:rsidRPr="00CA574B">
        <w:rPr>
          <w:rFonts w:eastAsia="Times New Roman" w:cs="Arial"/>
          <w:sz w:val="20"/>
          <w:szCs w:val="20"/>
        </w:rPr>
        <w:t xml:space="preserve">  </w:t>
      </w:r>
      <w:r w:rsidRPr="00266173">
        <w:rPr>
          <w:rFonts w:cs="Arial"/>
          <w:sz w:val="20"/>
          <w:szCs w:val="20"/>
        </w:rPr>
        <w:t xml:space="preserve"> </w:t>
      </w:r>
    </w:p>
    <w:p w:rsidR="00266173" w:rsidRDefault="00266173" w:rsidP="00266173">
      <w:pPr>
        <w:tabs>
          <w:tab w:val="left" w:pos="0"/>
        </w:tabs>
        <w:rPr>
          <w:noProof/>
          <w:sz w:val="20"/>
          <w:szCs w:val="20"/>
        </w:rPr>
      </w:pPr>
    </w:p>
    <w:p w:rsidR="000A0773" w:rsidRDefault="000A0773" w:rsidP="004C11B9">
      <w:pPr>
        <w:tabs>
          <w:tab w:val="left" w:pos="0"/>
        </w:tabs>
        <w:spacing w:after="240"/>
        <w:rPr>
          <w:noProof/>
          <w:sz w:val="20"/>
          <w:szCs w:val="20"/>
        </w:rPr>
      </w:pPr>
      <w:r w:rsidRPr="000A0773">
        <w:rPr>
          <w:bCs/>
          <w:noProof/>
          <w:sz w:val="20"/>
          <w:szCs w:val="20"/>
        </w:rPr>
        <w:t>ComBase</w:t>
      </w:r>
      <w:r w:rsidRPr="000A0773">
        <w:rPr>
          <w:noProof/>
          <w:sz w:val="20"/>
          <w:szCs w:val="20"/>
        </w:rPr>
        <w:t xml:space="preserve"> </w:t>
      </w:r>
      <w:r>
        <w:rPr>
          <w:noProof/>
          <w:sz w:val="20"/>
          <w:szCs w:val="20"/>
        </w:rPr>
        <w:t>(2012) W</w:t>
      </w:r>
      <w:r w:rsidRPr="000A0773">
        <w:rPr>
          <w:noProof/>
          <w:sz w:val="20"/>
          <w:szCs w:val="20"/>
        </w:rPr>
        <w:t>eb-based resource for Quantitative and Predictive Food Microbiology</w:t>
      </w:r>
      <w:r>
        <w:rPr>
          <w:noProof/>
          <w:sz w:val="20"/>
          <w:szCs w:val="20"/>
        </w:rPr>
        <w:t xml:space="preserve"> </w:t>
      </w:r>
      <w:hyperlink r:id="rId15" w:history="1">
        <w:r w:rsidRPr="00163529">
          <w:rPr>
            <w:rStyle w:val="Hyperlink"/>
            <w:noProof/>
            <w:sz w:val="20"/>
            <w:szCs w:val="20"/>
          </w:rPr>
          <w:t>http://www.combase.cc/index.php/en/</w:t>
        </w:r>
      </w:hyperlink>
      <w:r>
        <w:rPr>
          <w:noProof/>
          <w:sz w:val="20"/>
          <w:szCs w:val="20"/>
        </w:rPr>
        <w:t xml:space="preserve"> </w:t>
      </w:r>
    </w:p>
    <w:p w:rsidR="008B4D83" w:rsidRDefault="006D2B33" w:rsidP="004C11B9">
      <w:pPr>
        <w:tabs>
          <w:tab w:val="left" w:pos="0"/>
        </w:tabs>
        <w:spacing w:after="240"/>
        <w:rPr>
          <w:noProof/>
          <w:sz w:val="20"/>
          <w:szCs w:val="20"/>
        </w:rPr>
      </w:pPr>
      <w:r>
        <w:rPr>
          <w:noProof/>
          <w:sz w:val="20"/>
          <w:szCs w:val="20"/>
        </w:rPr>
        <w:t xml:space="preserve">EC Commission Staff Working Document (2008) </w:t>
      </w:r>
      <w:r w:rsidR="008B4D83">
        <w:rPr>
          <w:noProof/>
          <w:sz w:val="20"/>
          <w:szCs w:val="20"/>
        </w:rPr>
        <w:t>Guidance document on Listeria monocytogenes shelf-life studies for ready-to-eat foods, under Regulation (EC) No 2073/2005 of 15 November 2005 on microbiological criteria for foodstuffs.</w:t>
      </w:r>
      <w:r>
        <w:rPr>
          <w:noProof/>
          <w:sz w:val="20"/>
          <w:szCs w:val="20"/>
        </w:rPr>
        <w:t xml:space="preserve"> Brussels. </w:t>
      </w:r>
      <w:hyperlink r:id="rId16" w:history="1">
        <w:r w:rsidR="00CA574B" w:rsidRPr="00163529">
          <w:rPr>
            <w:rStyle w:val="Hyperlink"/>
            <w:noProof/>
            <w:sz w:val="20"/>
            <w:szCs w:val="20"/>
          </w:rPr>
          <w:t>http://ec.europa.eu/food/</w:t>
        </w:r>
      </w:hyperlink>
    </w:p>
    <w:p w:rsidR="00AC0376" w:rsidRPr="002B3EEA" w:rsidRDefault="00AC0376" w:rsidP="00AC0376">
      <w:pPr>
        <w:tabs>
          <w:tab w:val="left" w:pos="0"/>
        </w:tabs>
        <w:rPr>
          <w:rFonts w:cs="Arial"/>
          <w:noProof/>
          <w:sz w:val="20"/>
          <w:szCs w:val="20"/>
        </w:rPr>
      </w:pPr>
      <w:r w:rsidRPr="002B3EEA">
        <w:rPr>
          <w:rFonts w:cs="Arial"/>
          <w:noProof/>
          <w:sz w:val="20"/>
          <w:szCs w:val="20"/>
        </w:rPr>
        <w:t xml:space="preserve">Health Canada (2011) Policy on </w:t>
      </w:r>
      <w:r w:rsidRPr="002B3EEA">
        <w:rPr>
          <w:rFonts w:cs="Arial"/>
          <w:i/>
          <w:noProof/>
          <w:sz w:val="20"/>
          <w:szCs w:val="20"/>
        </w:rPr>
        <w:t>Listeria monocytogenes</w:t>
      </w:r>
      <w:r w:rsidRPr="002B3EEA">
        <w:rPr>
          <w:rFonts w:cs="Arial"/>
          <w:noProof/>
          <w:sz w:val="20"/>
          <w:szCs w:val="20"/>
        </w:rPr>
        <w:t xml:space="preserve"> in ready-to-eat foods. Health Canada, Ottowa, Canada.</w:t>
      </w:r>
    </w:p>
    <w:p w:rsidR="00AC0376" w:rsidRDefault="002275D0" w:rsidP="00AC0376">
      <w:pPr>
        <w:tabs>
          <w:tab w:val="left" w:pos="0"/>
        </w:tabs>
        <w:spacing w:after="240"/>
        <w:rPr>
          <w:rFonts w:cs="Arial"/>
          <w:noProof/>
          <w:sz w:val="20"/>
          <w:szCs w:val="20"/>
        </w:rPr>
      </w:pPr>
      <w:hyperlink r:id="rId17" w:history="1">
        <w:r w:rsidR="00CA574B" w:rsidRPr="00163529">
          <w:rPr>
            <w:rStyle w:val="Hyperlink"/>
            <w:rFonts w:cs="Arial"/>
            <w:noProof/>
            <w:sz w:val="20"/>
            <w:szCs w:val="20"/>
          </w:rPr>
          <w:t>http://www.hc-sc.gc.ca</w:t>
        </w:r>
      </w:hyperlink>
      <w:r w:rsidR="00CA574B">
        <w:rPr>
          <w:rFonts w:cs="Arial"/>
          <w:noProof/>
          <w:sz w:val="20"/>
          <w:szCs w:val="20"/>
        </w:rPr>
        <w:t xml:space="preserve"> </w:t>
      </w:r>
    </w:p>
    <w:p w:rsidR="00A26DA2" w:rsidRDefault="00A26DA2" w:rsidP="00CA574B">
      <w:pPr>
        <w:tabs>
          <w:tab w:val="left" w:pos="0"/>
        </w:tabs>
        <w:rPr>
          <w:rFonts w:cs="Arial"/>
          <w:noProof/>
          <w:sz w:val="20"/>
          <w:szCs w:val="20"/>
        </w:rPr>
      </w:pPr>
      <w:r>
        <w:rPr>
          <w:rFonts w:cs="Arial"/>
          <w:noProof/>
          <w:sz w:val="20"/>
          <w:szCs w:val="20"/>
        </w:rPr>
        <w:t xml:space="preserve">Health Canada (2012) </w:t>
      </w:r>
      <w:r w:rsidRPr="00A26DA2">
        <w:rPr>
          <w:rFonts w:cs="Arial"/>
          <w:i/>
          <w:noProof/>
          <w:sz w:val="20"/>
          <w:szCs w:val="20"/>
        </w:rPr>
        <w:t>Listeria monocytogenes</w:t>
      </w:r>
      <w:r>
        <w:rPr>
          <w:rFonts w:cs="Arial"/>
          <w:noProof/>
          <w:sz w:val="20"/>
          <w:szCs w:val="20"/>
        </w:rPr>
        <w:t xml:space="preserve"> Challenge Testing of Refrigerated Ready-to-Eat Foods. Health Canada, Ottowa, Canada.</w:t>
      </w:r>
      <w:r w:rsidRPr="00A26DA2">
        <w:t xml:space="preserve"> </w:t>
      </w:r>
      <w:hyperlink r:id="rId18" w:history="1">
        <w:r w:rsidR="00CA574B" w:rsidRPr="00163529">
          <w:rPr>
            <w:rStyle w:val="Hyperlink"/>
            <w:rFonts w:cs="Arial"/>
            <w:noProof/>
            <w:sz w:val="20"/>
            <w:szCs w:val="20"/>
          </w:rPr>
          <w:t>http://www.hc-sc.gc.ca</w:t>
        </w:r>
      </w:hyperlink>
      <w:r w:rsidR="00CA574B">
        <w:rPr>
          <w:rFonts w:cs="Arial"/>
          <w:noProof/>
          <w:sz w:val="20"/>
          <w:szCs w:val="20"/>
        </w:rPr>
        <w:t xml:space="preserve"> </w:t>
      </w:r>
    </w:p>
    <w:p w:rsidR="00CA574B" w:rsidRDefault="00CA574B" w:rsidP="00CA574B">
      <w:pPr>
        <w:tabs>
          <w:tab w:val="left" w:pos="0"/>
        </w:tabs>
        <w:rPr>
          <w:noProof/>
          <w:sz w:val="20"/>
          <w:szCs w:val="20"/>
        </w:rPr>
      </w:pPr>
    </w:p>
    <w:p w:rsidR="004C11B9" w:rsidRDefault="004C11B9" w:rsidP="004C11B9">
      <w:pPr>
        <w:tabs>
          <w:tab w:val="left" w:pos="0"/>
        </w:tabs>
        <w:spacing w:after="240"/>
        <w:rPr>
          <w:noProof/>
          <w:sz w:val="20"/>
          <w:szCs w:val="20"/>
        </w:rPr>
      </w:pPr>
      <w:r w:rsidRPr="00333D7D">
        <w:rPr>
          <w:noProof/>
          <w:sz w:val="20"/>
          <w:szCs w:val="20"/>
        </w:rPr>
        <w:t>Mejlholm O, Dalgaard P (2010)</w:t>
      </w:r>
      <w:r>
        <w:rPr>
          <w:noProof/>
          <w:sz w:val="20"/>
          <w:szCs w:val="20"/>
        </w:rPr>
        <w:t xml:space="preserve"> </w:t>
      </w:r>
      <w:r w:rsidRPr="00DB1DBB">
        <w:rPr>
          <w:noProof/>
          <w:sz w:val="20"/>
          <w:szCs w:val="20"/>
        </w:rPr>
        <w:t>Development and validation of an extensive growth and growth</w:t>
      </w:r>
      <w:r>
        <w:rPr>
          <w:noProof/>
          <w:sz w:val="20"/>
          <w:szCs w:val="20"/>
        </w:rPr>
        <w:t xml:space="preserve"> </w:t>
      </w:r>
      <w:r w:rsidRPr="00DB1DBB">
        <w:rPr>
          <w:noProof/>
          <w:sz w:val="20"/>
          <w:szCs w:val="20"/>
        </w:rPr>
        <w:t xml:space="preserve">boundary model for </w:t>
      </w:r>
      <w:r w:rsidRPr="00DB1DBB">
        <w:rPr>
          <w:i/>
          <w:noProof/>
          <w:sz w:val="20"/>
          <w:szCs w:val="20"/>
        </w:rPr>
        <w:t>Listeria</w:t>
      </w:r>
      <w:r w:rsidRPr="00DB1DBB">
        <w:rPr>
          <w:noProof/>
          <w:sz w:val="20"/>
          <w:szCs w:val="20"/>
        </w:rPr>
        <w:t xml:space="preserve"> </w:t>
      </w:r>
      <w:r w:rsidRPr="00DB1DBB">
        <w:rPr>
          <w:i/>
          <w:noProof/>
          <w:sz w:val="20"/>
          <w:szCs w:val="20"/>
        </w:rPr>
        <w:t>monocytogenes</w:t>
      </w:r>
      <w:r w:rsidRPr="00DB1DBB">
        <w:rPr>
          <w:noProof/>
          <w:sz w:val="20"/>
          <w:szCs w:val="20"/>
        </w:rPr>
        <w:t xml:space="preserve"> in lightly preserved</w:t>
      </w:r>
      <w:r>
        <w:rPr>
          <w:noProof/>
          <w:sz w:val="20"/>
          <w:szCs w:val="20"/>
        </w:rPr>
        <w:t xml:space="preserve"> </w:t>
      </w:r>
      <w:r w:rsidRPr="00DB1DBB">
        <w:rPr>
          <w:noProof/>
          <w:sz w:val="20"/>
          <w:szCs w:val="20"/>
        </w:rPr>
        <w:t>and ready-to-eat shrimp</w:t>
      </w:r>
      <w:r>
        <w:rPr>
          <w:noProof/>
          <w:sz w:val="20"/>
          <w:szCs w:val="20"/>
        </w:rPr>
        <w:t>. Journal of Food Protection</w:t>
      </w:r>
      <w:r w:rsidRPr="00DB1DBB">
        <w:rPr>
          <w:noProof/>
          <w:sz w:val="20"/>
          <w:szCs w:val="20"/>
        </w:rPr>
        <w:t xml:space="preserve"> 72</w:t>
      </w:r>
      <w:r>
        <w:rPr>
          <w:noProof/>
          <w:sz w:val="20"/>
          <w:szCs w:val="20"/>
        </w:rPr>
        <w:t>:</w:t>
      </w:r>
      <w:r w:rsidRPr="00DB1DBB">
        <w:rPr>
          <w:noProof/>
          <w:sz w:val="20"/>
          <w:szCs w:val="20"/>
        </w:rPr>
        <w:t>2132</w:t>
      </w:r>
      <w:r>
        <w:rPr>
          <w:noProof/>
          <w:sz w:val="20"/>
          <w:szCs w:val="20"/>
        </w:rPr>
        <w:t>-</w:t>
      </w:r>
      <w:r w:rsidRPr="00DB1DBB">
        <w:rPr>
          <w:noProof/>
          <w:sz w:val="20"/>
          <w:szCs w:val="20"/>
        </w:rPr>
        <w:t>2143</w:t>
      </w:r>
    </w:p>
    <w:p w:rsidR="004C11B9" w:rsidRDefault="004C11B9" w:rsidP="004C11B9">
      <w:pPr>
        <w:rPr>
          <w:noProof/>
          <w:sz w:val="20"/>
          <w:szCs w:val="20"/>
        </w:rPr>
      </w:pPr>
      <w:r w:rsidRPr="00333D7D">
        <w:rPr>
          <w:noProof/>
          <w:sz w:val="20"/>
          <w:szCs w:val="20"/>
        </w:rPr>
        <w:t xml:space="preserve">Mejlholm O, Gunvig A, Borggaard C, Blom-Hanssen J, Mellefont L, Ross T, Leroi F, Else T, Visser D, Dalgaard P (2010) Predicting growth rates and growth boundary of </w:t>
      </w:r>
      <w:r w:rsidRPr="00DB1DBB">
        <w:rPr>
          <w:i/>
          <w:noProof/>
          <w:sz w:val="20"/>
          <w:szCs w:val="20"/>
        </w:rPr>
        <w:t>Listeria</w:t>
      </w:r>
      <w:r w:rsidRPr="00333D7D">
        <w:rPr>
          <w:noProof/>
          <w:sz w:val="20"/>
          <w:szCs w:val="20"/>
        </w:rPr>
        <w:t xml:space="preserve"> </w:t>
      </w:r>
      <w:r w:rsidRPr="00DB1DBB">
        <w:rPr>
          <w:i/>
          <w:noProof/>
          <w:sz w:val="20"/>
          <w:szCs w:val="20"/>
        </w:rPr>
        <w:t>monocytogenes</w:t>
      </w:r>
      <w:r w:rsidRPr="00333D7D">
        <w:rPr>
          <w:noProof/>
          <w:sz w:val="20"/>
          <w:szCs w:val="20"/>
        </w:rPr>
        <w:t xml:space="preserve"> — An</w:t>
      </w:r>
      <w:r>
        <w:rPr>
          <w:noProof/>
          <w:sz w:val="20"/>
          <w:szCs w:val="20"/>
        </w:rPr>
        <w:t xml:space="preserve"> </w:t>
      </w:r>
      <w:r w:rsidRPr="00333D7D">
        <w:rPr>
          <w:noProof/>
          <w:sz w:val="20"/>
          <w:szCs w:val="20"/>
        </w:rPr>
        <w:t>international validation study with focus on processed and ready-to-eat meat</w:t>
      </w:r>
      <w:r>
        <w:rPr>
          <w:noProof/>
          <w:sz w:val="20"/>
          <w:szCs w:val="20"/>
        </w:rPr>
        <w:t xml:space="preserve"> </w:t>
      </w:r>
      <w:r w:rsidRPr="00333D7D">
        <w:rPr>
          <w:noProof/>
          <w:sz w:val="20"/>
          <w:szCs w:val="20"/>
        </w:rPr>
        <w:t>and seafood</w:t>
      </w:r>
      <w:r>
        <w:rPr>
          <w:noProof/>
          <w:sz w:val="20"/>
          <w:szCs w:val="20"/>
        </w:rPr>
        <w:t xml:space="preserve">. </w:t>
      </w:r>
      <w:r w:rsidRPr="00333D7D">
        <w:rPr>
          <w:noProof/>
          <w:sz w:val="20"/>
          <w:szCs w:val="20"/>
        </w:rPr>
        <w:t>International Journal of Food Microbiology 141</w:t>
      </w:r>
      <w:r>
        <w:rPr>
          <w:noProof/>
          <w:sz w:val="20"/>
          <w:szCs w:val="20"/>
        </w:rPr>
        <w:t>:</w:t>
      </w:r>
      <w:r w:rsidRPr="00333D7D">
        <w:rPr>
          <w:noProof/>
          <w:sz w:val="20"/>
          <w:szCs w:val="20"/>
        </w:rPr>
        <w:t>137</w:t>
      </w:r>
      <w:r>
        <w:rPr>
          <w:noProof/>
          <w:sz w:val="20"/>
          <w:szCs w:val="20"/>
        </w:rPr>
        <w:t>-</w:t>
      </w:r>
      <w:r w:rsidRPr="00333D7D">
        <w:rPr>
          <w:noProof/>
          <w:sz w:val="20"/>
          <w:szCs w:val="20"/>
        </w:rPr>
        <w:t>150</w:t>
      </w:r>
    </w:p>
    <w:p w:rsidR="00E933BB" w:rsidRDefault="00E933BB" w:rsidP="004C11B9">
      <w:pPr>
        <w:rPr>
          <w:noProof/>
          <w:sz w:val="20"/>
          <w:szCs w:val="20"/>
        </w:rPr>
      </w:pPr>
    </w:p>
    <w:p w:rsidR="00E933BB" w:rsidRDefault="00E933BB" w:rsidP="004C11B9">
      <w:pPr>
        <w:rPr>
          <w:noProof/>
          <w:sz w:val="20"/>
          <w:szCs w:val="20"/>
        </w:rPr>
      </w:pPr>
      <w:r>
        <w:rPr>
          <w:noProof/>
          <w:sz w:val="20"/>
          <w:szCs w:val="20"/>
        </w:rPr>
        <w:t xml:space="preserve">NSW Food Authority (2010) Shelf life testing, ‘Use-by” dates for food safety. </w:t>
      </w:r>
      <w:hyperlink r:id="rId19" w:history="1">
        <w:r w:rsidR="00CA574B" w:rsidRPr="00163529">
          <w:rPr>
            <w:rStyle w:val="Hyperlink"/>
            <w:noProof/>
            <w:sz w:val="20"/>
            <w:szCs w:val="20"/>
          </w:rPr>
          <w:t>http://www.foodauthority.nsw.gov.au</w:t>
        </w:r>
      </w:hyperlink>
      <w:r w:rsidR="00CA574B">
        <w:rPr>
          <w:noProof/>
          <w:sz w:val="20"/>
          <w:szCs w:val="20"/>
        </w:rPr>
        <w:t xml:space="preserve"> </w:t>
      </w:r>
      <w:r>
        <w:rPr>
          <w:noProof/>
          <w:sz w:val="20"/>
          <w:szCs w:val="20"/>
        </w:rPr>
        <w:t xml:space="preserve">  </w:t>
      </w:r>
    </w:p>
    <w:p w:rsidR="00173F25" w:rsidRDefault="00173F25" w:rsidP="004C11B9">
      <w:pPr>
        <w:rPr>
          <w:noProof/>
          <w:sz w:val="20"/>
          <w:szCs w:val="20"/>
        </w:rPr>
      </w:pPr>
    </w:p>
    <w:p w:rsidR="00173F25" w:rsidRDefault="00173F25" w:rsidP="004C11B9">
      <w:pPr>
        <w:rPr>
          <w:rStyle w:val="Hyperlink"/>
          <w:noProof/>
          <w:sz w:val="20"/>
        </w:rPr>
      </w:pPr>
      <w:r w:rsidRPr="00173F25">
        <w:rPr>
          <w:rFonts w:cs="Arial"/>
          <w:sz w:val="20"/>
          <w:szCs w:val="20"/>
        </w:rPr>
        <w:t xml:space="preserve">Ross T (2010) Defining "Short Shelf Life" foods with respect to risk from </w:t>
      </w:r>
      <w:r w:rsidRPr="00173F25">
        <w:rPr>
          <w:rFonts w:cs="Arial"/>
          <w:i/>
          <w:iCs/>
          <w:sz w:val="20"/>
          <w:szCs w:val="20"/>
        </w:rPr>
        <w:t>Listeria monocytogenes</w:t>
      </w:r>
      <w:r w:rsidRPr="00173F25">
        <w:rPr>
          <w:rFonts w:cs="Arial"/>
          <w:sz w:val="20"/>
          <w:szCs w:val="20"/>
        </w:rPr>
        <w:t>. Ministry of Agriculture and Forestry, Wellington, New Zealand.</w:t>
      </w:r>
      <w:r w:rsidR="00CA574B">
        <w:rPr>
          <w:rFonts w:cs="Arial"/>
          <w:sz w:val="20"/>
          <w:szCs w:val="20"/>
        </w:rPr>
        <w:t xml:space="preserve"> </w:t>
      </w:r>
      <w:r w:rsidR="00BA2BAF" w:rsidRPr="00CA574B">
        <w:rPr>
          <w:rStyle w:val="Hyperlink"/>
          <w:noProof/>
          <w:sz w:val="20"/>
        </w:rPr>
        <w:t>http://www</w:t>
      </w:r>
      <w:r w:rsidR="00CA574B">
        <w:rPr>
          <w:rStyle w:val="Hyperlink"/>
          <w:noProof/>
          <w:sz w:val="20"/>
        </w:rPr>
        <w:t>.foodsafety.govt.nz</w:t>
      </w:r>
      <w:r w:rsidR="004D6EF1">
        <w:rPr>
          <w:rStyle w:val="Hyperlink"/>
          <w:noProof/>
          <w:sz w:val="20"/>
        </w:rPr>
        <w:t xml:space="preserve"> </w:t>
      </w:r>
    </w:p>
    <w:p w:rsidR="004D6EF1" w:rsidRDefault="004D6EF1" w:rsidP="004C11B9">
      <w:pPr>
        <w:rPr>
          <w:rStyle w:val="Hyperlink"/>
          <w:noProof/>
          <w:sz w:val="20"/>
        </w:rPr>
      </w:pPr>
    </w:p>
    <w:p w:rsidR="00BA2BAF" w:rsidRDefault="004D6EF1" w:rsidP="004C11B9">
      <w:pPr>
        <w:rPr>
          <w:rFonts w:cs="Arial"/>
          <w:sz w:val="20"/>
          <w:szCs w:val="20"/>
        </w:rPr>
      </w:pPr>
      <w:r>
        <w:rPr>
          <w:rFonts w:cs="Arial"/>
          <w:sz w:val="20"/>
          <w:szCs w:val="20"/>
        </w:rPr>
        <w:t xml:space="preserve">USDA (2013) Pathogen Modelling Program (PMP) online: </w:t>
      </w:r>
      <w:hyperlink r:id="rId20" w:history="1">
        <w:r w:rsidRPr="00163529">
          <w:rPr>
            <w:rStyle w:val="Hyperlink"/>
            <w:rFonts w:cs="Arial"/>
            <w:sz w:val="20"/>
            <w:szCs w:val="20"/>
          </w:rPr>
          <w:t>http://pmp.arserrc.gov/PMPOnline.aspx</w:t>
        </w:r>
      </w:hyperlink>
      <w:r>
        <w:rPr>
          <w:rFonts w:cs="Arial"/>
          <w:sz w:val="20"/>
          <w:szCs w:val="20"/>
        </w:rPr>
        <w:t xml:space="preserve"> </w:t>
      </w:r>
    </w:p>
    <w:sectPr w:rsidR="00BA2BAF" w:rsidSect="00241F99">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68A" w:rsidRDefault="0036168A" w:rsidP="00DF3EE0">
      <w:r>
        <w:separator/>
      </w:r>
    </w:p>
  </w:endnote>
  <w:endnote w:type="continuationSeparator" w:id="0">
    <w:p w:rsidR="0036168A" w:rsidRDefault="0036168A" w:rsidP="00DF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4BC" w:rsidRDefault="000A4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869709"/>
      <w:docPartObj>
        <w:docPartGallery w:val="Page Numbers (Bottom of Page)"/>
        <w:docPartUnique/>
      </w:docPartObj>
    </w:sdtPr>
    <w:sdtEndPr>
      <w:rPr>
        <w:noProof/>
      </w:rPr>
    </w:sdtEndPr>
    <w:sdtContent>
      <w:p w:rsidR="0036168A" w:rsidRDefault="00417390" w:rsidP="00417B0E">
        <w:pPr>
          <w:pStyle w:val="Footer"/>
          <w:jc w:val="center"/>
        </w:pPr>
        <w:r>
          <w:fldChar w:fldCharType="begin"/>
        </w:r>
        <w:r>
          <w:instrText xml:space="preserve"> PAGE   \* MERGEFORMAT </w:instrText>
        </w:r>
        <w:r>
          <w:fldChar w:fldCharType="separate"/>
        </w:r>
        <w:r w:rsidR="002275D0">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4BC" w:rsidRDefault="000A4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68A" w:rsidRDefault="0036168A" w:rsidP="00DF3EE0">
      <w:r>
        <w:separator/>
      </w:r>
    </w:p>
  </w:footnote>
  <w:footnote w:type="continuationSeparator" w:id="0">
    <w:p w:rsidR="0036168A" w:rsidRDefault="0036168A" w:rsidP="00DF3EE0">
      <w:r>
        <w:continuationSeparator/>
      </w:r>
    </w:p>
  </w:footnote>
  <w:footnote w:id="1">
    <w:p w:rsidR="00CA7C28" w:rsidRPr="00CA7C28" w:rsidRDefault="00CA7C28" w:rsidP="00241F99">
      <w:pPr>
        <w:pStyle w:val="FootnoteText"/>
        <w:ind w:left="0" w:firstLine="0"/>
        <w:rPr>
          <w:lang w:val="en-AU"/>
        </w:rPr>
      </w:pPr>
      <w:r>
        <w:rPr>
          <w:rStyle w:val="FootnoteReference"/>
        </w:rPr>
        <w:footnoteRef/>
      </w:r>
      <w:r>
        <w:t xml:space="preserve"> </w:t>
      </w:r>
      <w:r>
        <w:rPr>
          <w:lang w:val="en-AU"/>
        </w:rPr>
        <w:t xml:space="preserve">Food businesses in New Zealand manage </w:t>
      </w:r>
      <w:r w:rsidRPr="00CA7C28">
        <w:rPr>
          <w:lang w:val="en-AU"/>
        </w:rPr>
        <w:t>food safety hazards</w:t>
      </w:r>
      <w:r>
        <w:rPr>
          <w:lang w:val="en-AU"/>
        </w:rPr>
        <w:t xml:space="preserve"> via New Zealand specific </w:t>
      </w:r>
      <w:r w:rsidR="00ED6BC3">
        <w:rPr>
          <w:lang w:val="en-AU"/>
        </w:rPr>
        <w:t>f</w:t>
      </w:r>
      <w:r>
        <w:rPr>
          <w:lang w:val="en-AU"/>
        </w:rPr>
        <w:t xml:space="preserve">ood </w:t>
      </w:r>
      <w:r w:rsidR="00ED6BC3">
        <w:rPr>
          <w:lang w:val="en-AU"/>
        </w:rPr>
        <w:t xml:space="preserve">legislation </w:t>
      </w:r>
      <w:r>
        <w:rPr>
          <w:lang w:val="en-AU"/>
        </w:rPr>
        <w:t xml:space="preserve">(including the Food Act 1991 and the </w:t>
      </w:r>
      <w:r w:rsidRPr="00CA7C28">
        <w:rPr>
          <w:lang w:val="en-AU"/>
        </w:rPr>
        <w:t>Animal Products Act (APA) 1999</w:t>
      </w:r>
      <w:r>
        <w:rPr>
          <w:lang w:val="en-AU"/>
        </w:rPr>
        <w:t xml:space="preserve"> - </w:t>
      </w:r>
      <w:hyperlink r:id="rId1" w:history="1">
        <w:r w:rsidRPr="00E129A1">
          <w:rPr>
            <w:rStyle w:val="Hyperlink"/>
            <w:lang w:val="en-AU"/>
          </w:rPr>
          <w:t>http://www.foodsafety.govt.nz/policy-law/food-regulation/nz-food-legislation/</w:t>
        </w:r>
      </w:hyperlink>
      <w:r>
        <w:rPr>
          <w:lang w:val="en-AU"/>
        </w:rPr>
        <w:t>)</w:t>
      </w:r>
    </w:p>
  </w:footnote>
  <w:footnote w:id="2">
    <w:p w:rsidR="008C4085" w:rsidRPr="00081338" w:rsidRDefault="008C4085" w:rsidP="00241F99">
      <w:pPr>
        <w:pStyle w:val="FootnoteText"/>
        <w:ind w:left="0" w:firstLine="0"/>
        <w:rPr>
          <w:lang w:val="en-AU"/>
        </w:rPr>
      </w:pPr>
      <w:r>
        <w:rPr>
          <w:rStyle w:val="FootnoteReference"/>
        </w:rPr>
        <w:footnoteRef/>
      </w:r>
      <w:r>
        <w:t xml:space="preserve"> </w:t>
      </w:r>
      <w:r>
        <w:rPr>
          <w:rFonts w:eastAsia="Calibri" w:cs="Times New Roman"/>
        </w:rPr>
        <w:t xml:space="preserve">Note that </w:t>
      </w:r>
      <w:r w:rsidRPr="0040171D">
        <w:rPr>
          <w:rFonts w:eastAsia="Calibri" w:cs="Times New Roman"/>
        </w:rPr>
        <w:t>0.5 log is two times the estimated standard deviation associated with the experimental enumeration method (viable counting/plate counts)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4BC" w:rsidRDefault="000A4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8A" w:rsidRPr="00417B0E" w:rsidRDefault="0036168A" w:rsidP="00DE67D3">
    <w:pPr>
      <w:pStyle w:val="Header"/>
      <w:rPr>
        <w:rFonts w:cs="Arial"/>
        <w:b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4BC" w:rsidRDefault="000A4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58D1"/>
    <w:multiLevelType w:val="hybridMultilevel"/>
    <w:tmpl w:val="1320154E"/>
    <w:lvl w:ilvl="0" w:tplc="05A2515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
    <w:nsid w:val="04042B8C"/>
    <w:multiLevelType w:val="hybridMultilevel"/>
    <w:tmpl w:val="B896085E"/>
    <w:lvl w:ilvl="0" w:tplc="6E121AC4">
      <w:start w:val="1"/>
      <w:numFmt w:val="bullet"/>
      <w:lvlText w:val="•"/>
      <w:lvlJc w:val="left"/>
      <w:pPr>
        <w:tabs>
          <w:tab w:val="num" w:pos="720"/>
        </w:tabs>
        <w:ind w:left="720" w:hanging="360"/>
      </w:pPr>
      <w:rPr>
        <w:rFonts w:ascii="Arial" w:hAnsi="Arial" w:hint="default"/>
      </w:rPr>
    </w:lvl>
    <w:lvl w:ilvl="1" w:tplc="27729D3E" w:tentative="1">
      <w:start w:val="1"/>
      <w:numFmt w:val="bullet"/>
      <w:lvlText w:val="•"/>
      <w:lvlJc w:val="left"/>
      <w:pPr>
        <w:tabs>
          <w:tab w:val="num" w:pos="1440"/>
        </w:tabs>
        <w:ind w:left="1440" w:hanging="360"/>
      </w:pPr>
      <w:rPr>
        <w:rFonts w:ascii="Arial" w:hAnsi="Arial" w:hint="default"/>
      </w:rPr>
    </w:lvl>
    <w:lvl w:ilvl="2" w:tplc="D61813C0" w:tentative="1">
      <w:start w:val="1"/>
      <w:numFmt w:val="bullet"/>
      <w:lvlText w:val="•"/>
      <w:lvlJc w:val="left"/>
      <w:pPr>
        <w:tabs>
          <w:tab w:val="num" w:pos="2160"/>
        </w:tabs>
        <w:ind w:left="2160" w:hanging="360"/>
      </w:pPr>
      <w:rPr>
        <w:rFonts w:ascii="Arial" w:hAnsi="Arial" w:hint="default"/>
      </w:rPr>
    </w:lvl>
    <w:lvl w:ilvl="3" w:tplc="F8BC06D2" w:tentative="1">
      <w:start w:val="1"/>
      <w:numFmt w:val="bullet"/>
      <w:lvlText w:val="•"/>
      <w:lvlJc w:val="left"/>
      <w:pPr>
        <w:tabs>
          <w:tab w:val="num" w:pos="2880"/>
        </w:tabs>
        <w:ind w:left="2880" w:hanging="360"/>
      </w:pPr>
      <w:rPr>
        <w:rFonts w:ascii="Arial" w:hAnsi="Arial" w:hint="default"/>
      </w:rPr>
    </w:lvl>
    <w:lvl w:ilvl="4" w:tplc="FE387516" w:tentative="1">
      <w:start w:val="1"/>
      <w:numFmt w:val="bullet"/>
      <w:lvlText w:val="•"/>
      <w:lvlJc w:val="left"/>
      <w:pPr>
        <w:tabs>
          <w:tab w:val="num" w:pos="3600"/>
        </w:tabs>
        <w:ind w:left="3600" w:hanging="360"/>
      </w:pPr>
      <w:rPr>
        <w:rFonts w:ascii="Arial" w:hAnsi="Arial" w:hint="default"/>
      </w:rPr>
    </w:lvl>
    <w:lvl w:ilvl="5" w:tplc="3984C47C" w:tentative="1">
      <w:start w:val="1"/>
      <w:numFmt w:val="bullet"/>
      <w:lvlText w:val="•"/>
      <w:lvlJc w:val="left"/>
      <w:pPr>
        <w:tabs>
          <w:tab w:val="num" w:pos="4320"/>
        </w:tabs>
        <w:ind w:left="4320" w:hanging="360"/>
      </w:pPr>
      <w:rPr>
        <w:rFonts w:ascii="Arial" w:hAnsi="Arial" w:hint="default"/>
      </w:rPr>
    </w:lvl>
    <w:lvl w:ilvl="6" w:tplc="6D6ADCB4" w:tentative="1">
      <w:start w:val="1"/>
      <w:numFmt w:val="bullet"/>
      <w:lvlText w:val="•"/>
      <w:lvlJc w:val="left"/>
      <w:pPr>
        <w:tabs>
          <w:tab w:val="num" w:pos="5040"/>
        </w:tabs>
        <w:ind w:left="5040" w:hanging="360"/>
      </w:pPr>
      <w:rPr>
        <w:rFonts w:ascii="Arial" w:hAnsi="Arial" w:hint="default"/>
      </w:rPr>
    </w:lvl>
    <w:lvl w:ilvl="7" w:tplc="77347C04" w:tentative="1">
      <w:start w:val="1"/>
      <w:numFmt w:val="bullet"/>
      <w:lvlText w:val="•"/>
      <w:lvlJc w:val="left"/>
      <w:pPr>
        <w:tabs>
          <w:tab w:val="num" w:pos="5760"/>
        </w:tabs>
        <w:ind w:left="5760" w:hanging="360"/>
      </w:pPr>
      <w:rPr>
        <w:rFonts w:ascii="Arial" w:hAnsi="Arial" w:hint="default"/>
      </w:rPr>
    </w:lvl>
    <w:lvl w:ilvl="8" w:tplc="125224AE" w:tentative="1">
      <w:start w:val="1"/>
      <w:numFmt w:val="bullet"/>
      <w:lvlText w:val="•"/>
      <w:lvlJc w:val="left"/>
      <w:pPr>
        <w:tabs>
          <w:tab w:val="num" w:pos="6480"/>
        </w:tabs>
        <w:ind w:left="6480" w:hanging="360"/>
      </w:pPr>
      <w:rPr>
        <w:rFonts w:ascii="Arial" w:hAnsi="Arial" w:hint="default"/>
      </w:rPr>
    </w:lvl>
  </w:abstractNum>
  <w:abstractNum w:abstractNumId="2">
    <w:nsid w:val="073768D0"/>
    <w:multiLevelType w:val="hybridMultilevel"/>
    <w:tmpl w:val="DF8C8E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812164"/>
    <w:multiLevelType w:val="hybridMultilevel"/>
    <w:tmpl w:val="71122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222A6"/>
    <w:multiLevelType w:val="hybridMultilevel"/>
    <w:tmpl w:val="D70208D8"/>
    <w:lvl w:ilvl="0" w:tplc="2F2E51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D76908"/>
    <w:multiLevelType w:val="hybridMultilevel"/>
    <w:tmpl w:val="DF8C8E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021DD3"/>
    <w:multiLevelType w:val="hybridMultilevel"/>
    <w:tmpl w:val="A83A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F2F6C"/>
    <w:multiLevelType w:val="hybridMultilevel"/>
    <w:tmpl w:val="E69E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186FBF"/>
    <w:multiLevelType w:val="hybridMultilevel"/>
    <w:tmpl w:val="767E36F6"/>
    <w:lvl w:ilvl="0" w:tplc="D04C821C">
      <w:start w:val="1"/>
      <w:numFmt w:val="bullet"/>
      <w:lvlText w:val="•"/>
      <w:lvlJc w:val="left"/>
      <w:pPr>
        <w:tabs>
          <w:tab w:val="num" w:pos="720"/>
        </w:tabs>
        <w:ind w:left="720" w:hanging="360"/>
      </w:pPr>
      <w:rPr>
        <w:rFonts w:ascii="Arial" w:hAnsi="Arial" w:hint="default"/>
      </w:rPr>
    </w:lvl>
    <w:lvl w:ilvl="1" w:tplc="ECD0947E">
      <w:start w:val="639"/>
      <w:numFmt w:val="bullet"/>
      <w:lvlText w:val="–"/>
      <w:lvlJc w:val="left"/>
      <w:pPr>
        <w:tabs>
          <w:tab w:val="num" w:pos="1440"/>
        </w:tabs>
        <w:ind w:left="1440" w:hanging="360"/>
      </w:pPr>
      <w:rPr>
        <w:rFonts w:ascii="Arial" w:hAnsi="Arial" w:hint="default"/>
      </w:rPr>
    </w:lvl>
    <w:lvl w:ilvl="2" w:tplc="2FC27576" w:tentative="1">
      <w:start w:val="1"/>
      <w:numFmt w:val="bullet"/>
      <w:lvlText w:val="•"/>
      <w:lvlJc w:val="left"/>
      <w:pPr>
        <w:tabs>
          <w:tab w:val="num" w:pos="2160"/>
        </w:tabs>
        <w:ind w:left="2160" w:hanging="360"/>
      </w:pPr>
      <w:rPr>
        <w:rFonts w:ascii="Arial" w:hAnsi="Arial" w:hint="default"/>
      </w:rPr>
    </w:lvl>
    <w:lvl w:ilvl="3" w:tplc="8DC64A96" w:tentative="1">
      <w:start w:val="1"/>
      <w:numFmt w:val="bullet"/>
      <w:lvlText w:val="•"/>
      <w:lvlJc w:val="left"/>
      <w:pPr>
        <w:tabs>
          <w:tab w:val="num" w:pos="2880"/>
        </w:tabs>
        <w:ind w:left="2880" w:hanging="360"/>
      </w:pPr>
      <w:rPr>
        <w:rFonts w:ascii="Arial" w:hAnsi="Arial" w:hint="default"/>
      </w:rPr>
    </w:lvl>
    <w:lvl w:ilvl="4" w:tplc="D390B5E6" w:tentative="1">
      <w:start w:val="1"/>
      <w:numFmt w:val="bullet"/>
      <w:lvlText w:val="•"/>
      <w:lvlJc w:val="left"/>
      <w:pPr>
        <w:tabs>
          <w:tab w:val="num" w:pos="3600"/>
        </w:tabs>
        <w:ind w:left="3600" w:hanging="360"/>
      </w:pPr>
      <w:rPr>
        <w:rFonts w:ascii="Arial" w:hAnsi="Arial" w:hint="default"/>
      </w:rPr>
    </w:lvl>
    <w:lvl w:ilvl="5" w:tplc="F0B271B4" w:tentative="1">
      <w:start w:val="1"/>
      <w:numFmt w:val="bullet"/>
      <w:lvlText w:val="•"/>
      <w:lvlJc w:val="left"/>
      <w:pPr>
        <w:tabs>
          <w:tab w:val="num" w:pos="4320"/>
        </w:tabs>
        <w:ind w:left="4320" w:hanging="360"/>
      </w:pPr>
      <w:rPr>
        <w:rFonts w:ascii="Arial" w:hAnsi="Arial" w:hint="default"/>
      </w:rPr>
    </w:lvl>
    <w:lvl w:ilvl="6" w:tplc="8BE67232" w:tentative="1">
      <w:start w:val="1"/>
      <w:numFmt w:val="bullet"/>
      <w:lvlText w:val="•"/>
      <w:lvlJc w:val="left"/>
      <w:pPr>
        <w:tabs>
          <w:tab w:val="num" w:pos="5040"/>
        </w:tabs>
        <w:ind w:left="5040" w:hanging="360"/>
      </w:pPr>
      <w:rPr>
        <w:rFonts w:ascii="Arial" w:hAnsi="Arial" w:hint="default"/>
      </w:rPr>
    </w:lvl>
    <w:lvl w:ilvl="7" w:tplc="4716857E" w:tentative="1">
      <w:start w:val="1"/>
      <w:numFmt w:val="bullet"/>
      <w:lvlText w:val="•"/>
      <w:lvlJc w:val="left"/>
      <w:pPr>
        <w:tabs>
          <w:tab w:val="num" w:pos="5760"/>
        </w:tabs>
        <w:ind w:left="5760" w:hanging="360"/>
      </w:pPr>
      <w:rPr>
        <w:rFonts w:ascii="Arial" w:hAnsi="Arial" w:hint="default"/>
      </w:rPr>
    </w:lvl>
    <w:lvl w:ilvl="8" w:tplc="CA30303A" w:tentative="1">
      <w:start w:val="1"/>
      <w:numFmt w:val="bullet"/>
      <w:lvlText w:val="•"/>
      <w:lvlJc w:val="left"/>
      <w:pPr>
        <w:tabs>
          <w:tab w:val="num" w:pos="6480"/>
        </w:tabs>
        <w:ind w:left="6480" w:hanging="360"/>
      </w:pPr>
      <w:rPr>
        <w:rFonts w:ascii="Arial" w:hAnsi="Arial" w:hint="default"/>
      </w:rPr>
    </w:lvl>
  </w:abstractNum>
  <w:abstractNum w:abstractNumId="9">
    <w:nsid w:val="2C666FD6"/>
    <w:multiLevelType w:val="hybridMultilevel"/>
    <w:tmpl w:val="86B4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AB5C65"/>
    <w:multiLevelType w:val="hybridMultilevel"/>
    <w:tmpl w:val="C99E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0E6C33"/>
    <w:multiLevelType w:val="hybridMultilevel"/>
    <w:tmpl w:val="6A06D4FE"/>
    <w:lvl w:ilvl="0" w:tplc="B972F134">
      <w:start w:val="1"/>
      <w:numFmt w:val="bullet"/>
      <w:lvlText w:val="•"/>
      <w:lvlJc w:val="left"/>
      <w:pPr>
        <w:tabs>
          <w:tab w:val="num" w:pos="720"/>
        </w:tabs>
        <w:ind w:left="720" w:hanging="360"/>
      </w:pPr>
      <w:rPr>
        <w:rFonts w:ascii="Arial" w:hAnsi="Arial" w:hint="default"/>
      </w:rPr>
    </w:lvl>
    <w:lvl w:ilvl="1" w:tplc="128491A8" w:tentative="1">
      <w:start w:val="1"/>
      <w:numFmt w:val="bullet"/>
      <w:lvlText w:val="•"/>
      <w:lvlJc w:val="left"/>
      <w:pPr>
        <w:tabs>
          <w:tab w:val="num" w:pos="1440"/>
        </w:tabs>
        <w:ind w:left="1440" w:hanging="360"/>
      </w:pPr>
      <w:rPr>
        <w:rFonts w:ascii="Arial" w:hAnsi="Arial" w:hint="default"/>
      </w:rPr>
    </w:lvl>
    <w:lvl w:ilvl="2" w:tplc="6D34FB7C" w:tentative="1">
      <w:start w:val="1"/>
      <w:numFmt w:val="bullet"/>
      <w:lvlText w:val="•"/>
      <w:lvlJc w:val="left"/>
      <w:pPr>
        <w:tabs>
          <w:tab w:val="num" w:pos="2160"/>
        </w:tabs>
        <w:ind w:left="2160" w:hanging="360"/>
      </w:pPr>
      <w:rPr>
        <w:rFonts w:ascii="Arial" w:hAnsi="Arial" w:hint="default"/>
      </w:rPr>
    </w:lvl>
    <w:lvl w:ilvl="3" w:tplc="5B006A94" w:tentative="1">
      <w:start w:val="1"/>
      <w:numFmt w:val="bullet"/>
      <w:lvlText w:val="•"/>
      <w:lvlJc w:val="left"/>
      <w:pPr>
        <w:tabs>
          <w:tab w:val="num" w:pos="2880"/>
        </w:tabs>
        <w:ind w:left="2880" w:hanging="360"/>
      </w:pPr>
      <w:rPr>
        <w:rFonts w:ascii="Arial" w:hAnsi="Arial" w:hint="default"/>
      </w:rPr>
    </w:lvl>
    <w:lvl w:ilvl="4" w:tplc="311C743A" w:tentative="1">
      <w:start w:val="1"/>
      <w:numFmt w:val="bullet"/>
      <w:lvlText w:val="•"/>
      <w:lvlJc w:val="left"/>
      <w:pPr>
        <w:tabs>
          <w:tab w:val="num" w:pos="3600"/>
        </w:tabs>
        <w:ind w:left="3600" w:hanging="360"/>
      </w:pPr>
      <w:rPr>
        <w:rFonts w:ascii="Arial" w:hAnsi="Arial" w:hint="default"/>
      </w:rPr>
    </w:lvl>
    <w:lvl w:ilvl="5" w:tplc="6BE46F40" w:tentative="1">
      <w:start w:val="1"/>
      <w:numFmt w:val="bullet"/>
      <w:lvlText w:val="•"/>
      <w:lvlJc w:val="left"/>
      <w:pPr>
        <w:tabs>
          <w:tab w:val="num" w:pos="4320"/>
        </w:tabs>
        <w:ind w:left="4320" w:hanging="360"/>
      </w:pPr>
      <w:rPr>
        <w:rFonts w:ascii="Arial" w:hAnsi="Arial" w:hint="default"/>
      </w:rPr>
    </w:lvl>
    <w:lvl w:ilvl="6" w:tplc="4E7A3222" w:tentative="1">
      <w:start w:val="1"/>
      <w:numFmt w:val="bullet"/>
      <w:lvlText w:val="•"/>
      <w:lvlJc w:val="left"/>
      <w:pPr>
        <w:tabs>
          <w:tab w:val="num" w:pos="5040"/>
        </w:tabs>
        <w:ind w:left="5040" w:hanging="360"/>
      </w:pPr>
      <w:rPr>
        <w:rFonts w:ascii="Arial" w:hAnsi="Arial" w:hint="default"/>
      </w:rPr>
    </w:lvl>
    <w:lvl w:ilvl="7" w:tplc="B9EAF50A" w:tentative="1">
      <w:start w:val="1"/>
      <w:numFmt w:val="bullet"/>
      <w:lvlText w:val="•"/>
      <w:lvlJc w:val="left"/>
      <w:pPr>
        <w:tabs>
          <w:tab w:val="num" w:pos="5760"/>
        </w:tabs>
        <w:ind w:left="5760" w:hanging="360"/>
      </w:pPr>
      <w:rPr>
        <w:rFonts w:ascii="Arial" w:hAnsi="Arial" w:hint="default"/>
      </w:rPr>
    </w:lvl>
    <w:lvl w:ilvl="8" w:tplc="0F2A1646" w:tentative="1">
      <w:start w:val="1"/>
      <w:numFmt w:val="bullet"/>
      <w:lvlText w:val="•"/>
      <w:lvlJc w:val="left"/>
      <w:pPr>
        <w:tabs>
          <w:tab w:val="num" w:pos="6480"/>
        </w:tabs>
        <w:ind w:left="6480" w:hanging="360"/>
      </w:pPr>
      <w:rPr>
        <w:rFonts w:ascii="Arial" w:hAnsi="Arial" w:hint="default"/>
      </w:rPr>
    </w:lvl>
  </w:abstractNum>
  <w:abstractNum w:abstractNumId="14">
    <w:nsid w:val="54131C5D"/>
    <w:multiLevelType w:val="hybridMultilevel"/>
    <w:tmpl w:val="B38C7E0C"/>
    <w:lvl w:ilvl="0" w:tplc="00C833E4">
      <w:start w:val="1"/>
      <w:numFmt w:val="decimal"/>
      <w:lvlText w:val="(%1)"/>
      <w:lvlJc w:val="left"/>
      <w:pPr>
        <w:tabs>
          <w:tab w:val="num" w:pos="720"/>
        </w:tabs>
        <w:ind w:left="720" w:hanging="360"/>
      </w:pPr>
    </w:lvl>
    <w:lvl w:ilvl="1" w:tplc="11E62C58" w:tentative="1">
      <w:start w:val="1"/>
      <w:numFmt w:val="decimal"/>
      <w:lvlText w:val="(%2)"/>
      <w:lvlJc w:val="left"/>
      <w:pPr>
        <w:tabs>
          <w:tab w:val="num" w:pos="1440"/>
        </w:tabs>
        <w:ind w:left="1440" w:hanging="360"/>
      </w:pPr>
    </w:lvl>
    <w:lvl w:ilvl="2" w:tplc="77E610A0" w:tentative="1">
      <w:start w:val="1"/>
      <w:numFmt w:val="decimal"/>
      <w:lvlText w:val="(%3)"/>
      <w:lvlJc w:val="left"/>
      <w:pPr>
        <w:tabs>
          <w:tab w:val="num" w:pos="2160"/>
        </w:tabs>
        <w:ind w:left="2160" w:hanging="360"/>
      </w:pPr>
    </w:lvl>
    <w:lvl w:ilvl="3" w:tplc="3516F408" w:tentative="1">
      <w:start w:val="1"/>
      <w:numFmt w:val="decimal"/>
      <w:lvlText w:val="(%4)"/>
      <w:lvlJc w:val="left"/>
      <w:pPr>
        <w:tabs>
          <w:tab w:val="num" w:pos="2880"/>
        </w:tabs>
        <w:ind w:left="2880" w:hanging="360"/>
      </w:pPr>
    </w:lvl>
    <w:lvl w:ilvl="4" w:tplc="841ED318" w:tentative="1">
      <w:start w:val="1"/>
      <w:numFmt w:val="decimal"/>
      <w:lvlText w:val="(%5)"/>
      <w:lvlJc w:val="left"/>
      <w:pPr>
        <w:tabs>
          <w:tab w:val="num" w:pos="3600"/>
        </w:tabs>
        <w:ind w:left="3600" w:hanging="360"/>
      </w:pPr>
    </w:lvl>
    <w:lvl w:ilvl="5" w:tplc="C3C86188" w:tentative="1">
      <w:start w:val="1"/>
      <w:numFmt w:val="decimal"/>
      <w:lvlText w:val="(%6)"/>
      <w:lvlJc w:val="left"/>
      <w:pPr>
        <w:tabs>
          <w:tab w:val="num" w:pos="4320"/>
        </w:tabs>
        <w:ind w:left="4320" w:hanging="360"/>
      </w:pPr>
    </w:lvl>
    <w:lvl w:ilvl="6" w:tplc="F842952A" w:tentative="1">
      <w:start w:val="1"/>
      <w:numFmt w:val="decimal"/>
      <w:lvlText w:val="(%7)"/>
      <w:lvlJc w:val="left"/>
      <w:pPr>
        <w:tabs>
          <w:tab w:val="num" w:pos="5040"/>
        </w:tabs>
        <w:ind w:left="5040" w:hanging="360"/>
      </w:pPr>
    </w:lvl>
    <w:lvl w:ilvl="7" w:tplc="D0B66DC8" w:tentative="1">
      <w:start w:val="1"/>
      <w:numFmt w:val="decimal"/>
      <w:lvlText w:val="(%8)"/>
      <w:lvlJc w:val="left"/>
      <w:pPr>
        <w:tabs>
          <w:tab w:val="num" w:pos="5760"/>
        </w:tabs>
        <w:ind w:left="5760" w:hanging="360"/>
      </w:pPr>
    </w:lvl>
    <w:lvl w:ilvl="8" w:tplc="1B38737A" w:tentative="1">
      <w:start w:val="1"/>
      <w:numFmt w:val="decimal"/>
      <w:lvlText w:val="(%9)"/>
      <w:lvlJc w:val="left"/>
      <w:pPr>
        <w:tabs>
          <w:tab w:val="num" w:pos="6480"/>
        </w:tabs>
        <w:ind w:left="6480" w:hanging="360"/>
      </w:pPr>
    </w:lvl>
  </w:abstractNum>
  <w:abstractNum w:abstractNumId="15">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5C05F9"/>
    <w:multiLevelType w:val="hybridMultilevel"/>
    <w:tmpl w:val="DD1C0872"/>
    <w:lvl w:ilvl="0" w:tplc="F7C04268">
      <w:start w:val="1"/>
      <w:numFmt w:val="lowerRoman"/>
      <w:lvlText w:val="(%1)"/>
      <w:lvlJc w:val="left"/>
      <w:pPr>
        <w:ind w:left="2782" w:hanging="72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7">
    <w:nsid w:val="64240B5A"/>
    <w:multiLevelType w:val="hybridMultilevel"/>
    <w:tmpl w:val="4364E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9D5546"/>
    <w:multiLevelType w:val="hybridMultilevel"/>
    <w:tmpl w:val="59BAA06C"/>
    <w:lvl w:ilvl="0" w:tplc="B810D3B8">
      <w:start w:val="1"/>
      <w:numFmt w:val="bullet"/>
      <w:lvlText w:val="•"/>
      <w:lvlJc w:val="left"/>
      <w:pPr>
        <w:tabs>
          <w:tab w:val="num" w:pos="720"/>
        </w:tabs>
        <w:ind w:left="720" w:hanging="360"/>
      </w:pPr>
      <w:rPr>
        <w:rFonts w:ascii="Arial" w:hAnsi="Arial" w:hint="default"/>
      </w:rPr>
    </w:lvl>
    <w:lvl w:ilvl="1" w:tplc="D534EE54" w:tentative="1">
      <w:start w:val="1"/>
      <w:numFmt w:val="bullet"/>
      <w:lvlText w:val="•"/>
      <w:lvlJc w:val="left"/>
      <w:pPr>
        <w:tabs>
          <w:tab w:val="num" w:pos="1440"/>
        </w:tabs>
        <w:ind w:left="1440" w:hanging="360"/>
      </w:pPr>
      <w:rPr>
        <w:rFonts w:ascii="Arial" w:hAnsi="Arial" w:hint="default"/>
      </w:rPr>
    </w:lvl>
    <w:lvl w:ilvl="2" w:tplc="A8B00882" w:tentative="1">
      <w:start w:val="1"/>
      <w:numFmt w:val="bullet"/>
      <w:lvlText w:val="•"/>
      <w:lvlJc w:val="left"/>
      <w:pPr>
        <w:tabs>
          <w:tab w:val="num" w:pos="2160"/>
        </w:tabs>
        <w:ind w:left="2160" w:hanging="360"/>
      </w:pPr>
      <w:rPr>
        <w:rFonts w:ascii="Arial" w:hAnsi="Arial" w:hint="default"/>
      </w:rPr>
    </w:lvl>
    <w:lvl w:ilvl="3" w:tplc="B35AFFDA" w:tentative="1">
      <w:start w:val="1"/>
      <w:numFmt w:val="bullet"/>
      <w:lvlText w:val="•"/>
      <w:lvlJc w:val="left"/>
      <w:pPr>
        <w:tabs>
          <w:tab w:val="num" w:pos="2880"/>
        </w:tabs>
        <w:ind w:left="2880" w:hanging="360"/>
      </w:pPr>
      <w:rPr>
        <w:rFonts w:ascii="Arial" w:hAnsi="Arial" w:hint="default"/>
      </w:rPr>
    </w:lvl>
    <w:lvl w:ilvl="4" w:tplc="DA5458F2" w:tentative="1">
      <w:start w:val="1"/>
      <w:numFmt w:val="bullet"/>
      <w:lvlText w:val="•"/>
      <w:lvlJc w:val="left"/>
      <w:pPr>
        <w:tabs>
          <w:tab w:val="num" w:pos="3600"/>
        </w:tabs>
        <w:ind w:left="3600" w:hanging="360"/>
      </w:pPr>
      <w:rPr>
        <w:rFonts w:ascii="Arial" w:hAnsi="Arial" w:hint="default"/>
      </w:rPr>
    </w:lvl>
    <w:lvl w:ilvl="5" w:tplc="C2361C34" w:tentative="1">
      <w:start w:val="1"/>
      <w:numFmt w:val="bullet"/>
      <w:lvlText w:val="•"/>
      <w:lvlJc w:val="left"/>
      <w:pPr>
        <w:tabs>
          <w:tab w:val="num" w:pos="4320"/>
        </w:tabs>
        <w:ind w:left="4320" w:hanging="360"/>
      </w:pPr>
      <w:rPr>
        <w:rFonts w:ascii="Arial" w:hAnsi="Arial" w:hint="default"/>
      </w:rPr>
    </w:lvl>
    <w:lvl w:ilvl="6" w:tplc="363AC7A8" w:tentative="1">
      <w:start w:val="1"/>
      <w:numFmt w:val="bullet"/>
      <w:lvlText w:val="•"/>
      <w:lvlJc w:val="left"/>
      <w:pPr>
        <w:tabs>
          <w:tab w:val="num" w:pos="5040"/>
        </w:tabs>
        <w:ind w:left="5040" w:hanging="360"/>
      </w:pPr>
      <w:rPr>
        <w:rFonts w:ascii="Arial" w:hAnsi="Arial" w:hint="default"/>
      </w:rPr>
    </w:lvl>
    <w:lvl w:ilvl="7" w:tplc="207E0062" w:tentative="1">
      <w:start w:val="1"/>
      <w:numFmt w:val="bullet"/>
      <w:lvlText w:val="•"/>
      <w:lvlJc w:val="left"/>
      <w:pPr>
        <w:tabs>
          <w:tab w:val="num" w:pos="5760"/>
        </w:tabs>
        <w:ind w:left="5760" w:hanging="360"/>
      </w:pPr>
      <w:rPr>
        <w:rFonts w:ascii="Arial" w:hAnsi="Arial" w:hint="default"/>
      </w:rPr>
    </w:lvl>
    <w:lvl w:ilvl="8" w:tplc="EE500F52" w:tentative="1">
      <w:start w:val="1"/>
      <w:numFmt w:val="bullet"/>
      <w:lvlText w:val="•"/>
      <w:lvlJc w:val="left"/>
      <w:pPr>
        <w:tabs>
          <w:tab w:val="num" w:pos="6480"/>
        </w:tabs>
        <w:ind w:left="6480" w:hanging="360"/>
      </w:pPr>
      <w:rPr>
        <w:rFonts w:ascii="Arial" w:hAnsi="Arial" w:hint="default"/>
      </w:rPr>
    </w:lvl>
  </w:abstractNum>
  <w:abstractNum w:abstractNumId="19">
    <w:nsid w:val="6A5F001D"/>
    <w:multiLevelType w:val="hybridMultilevel"/>
    <w:tmpl w:val="0E763E92"/>
    <w:lvl w:ilvl="0" w:tplc="D1D0AA76">
      <w:start w:val="1"/>
      <w:numFmt w:val="bullet"/>
      <w:lvlText w:val="•"/>
      <w:lvlJc w:val="left"/>
      <w:pPr>
        <w:tabs>
          <w:tab w:val="num" w:pos="720"/>
        </w:tabs>
        <w:ind w:left="720" w:hanging="360"/>
      </w:pPr>
      <w:rPr>
        <w:rFonts w:ascii="Arial" w:hAnsi="Arial" w:hint="default"/>
      </w:rPr>
    </w:lvl>
    <w:lvl w:ilvl="1" w:tplc="EC3E8CEE" w:tentative="1">
      <w:start w:val="1"/>
      <w:numFmt w:val="bullet"/>
      <w:lvlText w:val="•"/>
      <w:lvlJc w:val="left"/>
      <w:pPr>
        <w:tabs>
          <w:tab w:val="num" w:pos="1440"/>
        </w:tabs>
        <w:ind w:left="1440" w:hanging="360"/>
      </w:pPr>
      <w:rPr>
        <w:rFonts w:ascii="Arial" w:hAnsi="Arial" w:hint="default"/>
      </w:rPr>
    </w:lvl>
    <w:lvl w:ilvl="2" w:tplc="1ED2D930" w:tentative="1">
      <w:start w:val="1"/>
      <w:numFmt w:val="bullet"/>
      <w:lvlText w:val="•"/>
      <w:lvlJc w:val="left"/>
      <w:pPr>
        <w:tabs>
          <w:tab w:val="num" w:pos="2160"/>
        </w:tabs>
        <w:ind w:left="2160" w:hanging="360"/>
      </w:pPr>
      <w:rPr>
        <w:rFonts w:ascii="Arial" w:hAnsi="Arial" w:hint="default"/>
      </w:rPr>
    </w:lvl>
    <w:lvl w:ilvl="3" w:tplc="C0A4085E" w:tentative="1">
      <w:start w:val="1"/>
      <w:numFmt w:val="bullet"/>
      <w:lvlText w:val="•"/>
      <w:lvlJc w:val="left"/>
      <w:pPr>
        <w:tabs>
          <w:tab w:val="num" w:pos="2880"/>
        </w:tabs>
        <w:ind w:left="2880" w:hanging="360"/>
      </w:pPr>
      <w:rPr>
        <w:rFonts w:ascii="Arial" w:hAnsi="Arial" w:hint="default"/>
      </w:rPr>
    </w:lvl>
    <w:lvl w:ilvl="4" w:tplc="406826AE" w:tentative="1">
      <w:start w:val="1"/>
      <w:numFmt w:val="bullet"/>
      <w:lvlText w:val="•"/>
      <w:lvlJc w:val="left"/>
      <w:pPr>
        <w:tabs>
          <w:tab w:val="num" w:pos="3600"/>
        </w:tabs>
        <w:ind w:left="3600" w:hanging="360"/>
      </w:pPr>
      <w:rPr>
        <w:rFonts w:ascii="Arial" w:hAnsi="Arial" w:hint="default"/>
      </w:rPr>
    </w:lvl>
    <w:lvl w:ilvl="5" w:tplc="4FCCAF3C" w:tentative="1">
      <w:start w:val="1"/>
      <w:numFmt w:val="bullet"/>
      <w:lvlText w:val="•"/>
      <w:lvlJc w:val="left"/>
      <w:pPr>
        <w:tabs>
          <w:tab w:val="num" w:pos="4320"/>
        </w:tabs>
        <w:ind w:left="4320" w:hanging="360"/>
      </w:pPr>
      <w:rPr>
        <w:rFonts w:ascii="Arial" w:hAnsi="Arial" w:hint="default"/>
      </w:rPr>
    </w:lvl>
    <w:lvl w:ilvl="6" w:tplc="43488A0A" w:tentative="1">
      <w:start w:val="1"/>
      <w:numFmt w:val="bullet"/>
      <w:lvlText w:val="•"/>
      <w:lvlJc w:val="left"/>
      <w:pPr>
        <w:tabs>
          <w:tab w:val="num" w:pos="5040"/>
        </w:tabs>
        <w:ind w:left="5040" w:hanging="360"/>
      </w:pPr>
      <w:rPr>
        <w:rFonts w:ascii="Arial" w:hAnsi="Arial" w:hint="default"/>
      </w:rPr>
    </w:lvl>
    <w:lvl w:ilvl="7" w:tplc="131EB394" w:tentative="1">
      <w:start w:val="1"/>
      <w:numFmt w:val="bullet"/>
      <w:lvlText w:val="•"/>
      <w:lvlJc w:val="left"/>
      <w:pPr>
        <w:tabs>
          <w:tab w:val="num" w:pos="5760"/>
        </w:tabs>
        <w:ind w:left="5760" w:hanging="360"/>
      </w:pPr>
      <w:rPr>
        <w:rFonts w:ascii="Arial" w:hAnsi="Arial" w:hint="default"/>
      </w:rPr>
    </w:lvl>
    <w:lvl w:ilvl="8" w:tplc="D7927464" w:tentative="1">
      <w:start w:val="1"/>
      <w:numFmt w:val="bullet"/>
      <w:lvlText w:val="•"/>
      <w:lvlJc w:val="left"/>
      <w:pPr>
        <w:tabs>
          <w:tab w:val="num" w:pos="6480"/>
        </w:tabs>
        <w:ind w:left="6480" w:hanging="360"/>
      </w:pPr>
      <w:rPr>
        <w:rFonts w:ascii="Arial" w:hAnsi="Arial" w:hint="default"/>
      </w:rPr>
    </w:lvl>
  </w:abstractNum>
  <w:abstractNum w:abstractNumId="20">
    <w:nsid w:val="6AA17B4C"/>
    <w:multiLevelType w:val="hybridMultilevel"/>
    <w:tmpl w:val="4238AA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D28764F"/>
    <w:multiLevelType w:val="hybridMultilevel"/>
    <w:tmpl w:val="0128CD6A"/>
    <w:lvl w:ilvl="0" w:tplc="D10AE574">
      <w:start w:val="1"/>
      <w:numFmt w:val="bullet"/>
      <w:lvlText w:val="•"/>
      <w:lvlJc w:val="left"/>
      <w:pPr>
        <w:tabs>
          <w:tab w:val="num" w:pos="720"/>
        </w:tabs>
        <w:ind w:left="720" w:hanging="360"/>
      </w:pPr>
      <w:rPr>
        <w:rFonts w:ascii="Arial" w:hAnsi="Arial" w:hint="default"/>
      </w:rPr>
    </w:lvl>
    <w:lvl w:ilvl="1" w:tplc="369EBD22" w:tentative="1">
      <w:start w:val="1"/>
      <w:numFmt w:val="bullet"/>
      <w:lvlText w:val="•"/>
      <w:lvlJc w:val="left"/>
      <w:pPr>
        <w:tabs>
          <w:tab w:val="num" w:pos="1440"/>
        </w:tabs>
        <w:ind w:left="1440" w:hanging="360"/>
      </w:pPr>
      <w:rPr>
        <w:rFonts w:ascii="Arial" w:hAnsi="Arial" w:hint="default"/>
      </w:rPr>
    </w:lvl>
    <w:lvl w:ilvl="2" w:tplc="4ADC33A4" w:tentative="1">
      <w:start w:val="1"/>
      <w:numFmt w:val="bullet"/>
      <w:lvlText w:val="•"/>
      <w:lvlJc w:val="left"/>
      <w:pPr>
        <w:tabs>
          <w:tab w:val="num" w:pos="2160"/>
        </w:tabs>
        <w:ind w:left="2160" w:hanging="360"/>
      </w:pPr>
      <w:rPr>
        <w:rFonts w:ascii="Arial" w:hAnsi="Arial" w:hint="default"/>
      </w:rPr>
    </w:lvl>
    <w:lvl w:ilvl="3" w:tplc="9A5E95E6" w:tentative="1">
      <w:start w:val="1"/>
      <w:numFmt w:val="bullet"/>
      <w:lvlText w:val="•"/>
      <w:lvlJc w:val="left"/>
      <w:pPr>
        <w:tabs>
          <w:tab w:val="num" w:pos="2880"/>
        </w:tabs>
        <w:ind w:left="2880" w:hanging="360"/>
      </w:pPr>
      <w:rPr>
        <w:rFonts w:ascii="Arial" w:hAnsi="Arial" w:hint="default"/>
      </w:rPr>
    </w:lvl>
    <w:lvl w:ilvl="4" w:tplc="02B2B000" w:tentative="1">
      <w:start w:val="1"/>
      <w:numFmt w:val="bullet"/>
      <w:lvlText w:val="•"/>
      <w:lvlJc w:val="left"/>
      <w:pPr>
        <w:tabs>
          <w:tab w:val="num" w:pos="3600"/>
        </w:tabs>
        <w:ind w:left="3600" w:hanging="360"/>
      </w:pPr>
      <w:rPr>
        <w:rFonts w:ascii="Arial" w:hAnsi="Arial" w:hint="default"/>
      </w:rPr>
    </w:lvl>
    <w:lvl w:ilvl="5" w:tplc="5BD430C4" w:tentative="1">
      <w:start w:val="1"/>
      <w:numFmt w:val="bullet"/>
      <w:lvlText w:val="•"/>
      <w:lvlJc w:val="left"/>
      <w:pPr>
        <w:tabs>
          <w:tab w:val="num" w:pos="4320"/>
        </w:tabs>
        <w:ind w:left="4320" w:hanging="360"/>
      </w:pPr>
      <w:rPr>
        <w:rFonts w:ascii="Arial" w:hAnsi="Arial" w:hint="default"/>
      </w:rPr>
    </w:lvl>
    <w:lvl w:ilvl="6" w:tplc="17FA46C0" w:tentative="1">
      <w:start w:val="1"/>
      <w:numFmt w:val="bullet"/>
      <w:lvlText w:val="•"/>
      <w:lvlJc w:val="left"/>
      <w:pPr>
        <w:tabs>
          <w:tab w:val="num" w:pos="5040"/>
        </w:tabs>
        <w:ind w:left="5040" w:hanging="360"/>
      </w:pPr>
      <w:rPr>
        <w:rFonts w:ascii="Arial" w:hAnsi="Arial" w:hint="default"/>
      </w:rPr>
    </w:lvl>
    <w:lvl w:ilvl="7" w:tplc="8272F710" w:tentative="1">
      <w:start w:val="1"/>
      <w:numFmt w:val="bullet"/>
      <w:lvlText w:val="•"/>
      <w:lvlJc w:val="left"/>
      <w:pPr>
        <w:tabs>
          <w:tab w:val="num" w:pos="5760"/>
        </w:tabs>
        <w:ind w:left="5760" w:hanging="360"/>
      </w:pPr>
      <w:rPr>
        <w:rFonts w:ascii="Arial" w:hAnsi="Arial" w:hint="default"/>
      </w:rPr>
    </w:lvl>
    <w:lvl w:ilvl="8" w:tplc="D396E300" w:tentative="1">
      <w:start w:val="1"/>
      <w:numFmt w:val="bullet"/>
      <w:lvlText w:val="•"/>
      <w:lvlJc w:val="left"/>
      <w:pPr>
        <w:tabs>
          <w:tab w:val="num" w:pos="6480"/>
        </w:tabs>
        <w:ind w:left="6480" w:hanging="360"/>
      </w:pPr>
      <w:rPr>
        <w:rFonts w:ascii="Arial" w:hAnsi="Arial" w:hint="default"/>
      </w:rPr>
    </w:lvl>
  </w:abstractNum>
  <w:abstractNum w:abstractNumId="22">
    <w:nsid w:val="70025291"/>
    <w:multiLevelType w:val="hybridMultilevel"/>
    <w:tmpl w:val="B04C0414"/>
    <w:lvl w:ilvl="0" w:tplc="E952ADC8">
      <w:start w:val="1"/>
      <w:numFmt w:val="bullet"/>
      <w:lvlText w:val="–"/>
      <w:lvlJc w:val="left"/>
      <w:pPr>
        <w:tabs>
          <w:tab w:val="num" w:pos="720"/>
        </w:tabs>
        <w:ind w:left="720" w:hanging="360"/>
      </w:pPr>
      <w:rPr>
        <w:rFonts w:ascii="Arial" w:hAnsi="Arial" w:hint="default"/>
      </w:rPr>
    </w:lvl>
    <w:lvl w:ilvl="1" w:tplc="7D92BC92">
      <w:start w:val="1"/>
      <w:numFmt w:val="bullet"/>
      <w:lvlText w:val="–"/>
      <w:lvlJc w:val="left"/>
      <w:pPr>
        <w:tabs>
          <w:tab w:val="num" w:pos="1440"/>
        </w:tabs>
        <w:ind w:left="1440" w:hanging="360"/>
      </w:pPr>
      <w:rPr>
        <w:rFonts w:ascii="Arial" w:hAnsi="Arial" w:hint="default"/>
      </w:rPr>
    </w:lvl>
    <w:lvl w:ilvl="2" w:tplc="D5C0C354" w:tentative="1">
      <w:start w:val="1"/>
      <w:numFmt w:val="bullet"/>
      <w:lvlText w:val="–"/>
      <w:lvlJc w:val="left"/>
      <w:pPr>
        <w:tabs>
          <w:tab w:val="num" w:pos="2160"/>
        </w:tabs>
        <w:ind w:left="2160" w:hanging="360"/>
      </w:pPr>
      <w:rPr>
        <w:rFonts w:ascii="Arial" w:hAnsi="Arial" w:hint="default"/>
      </w:rPr>
    </w:lvl>
    <w:lvl w:ilvl="3" w:tplc="ECF89F34" w:tentative="1">
      <w:start w:val="1"/>
      <w:numFmt w:val="bullet"/>
      <w:lvlText w:val="–"/>
      <w:lvlJc w:val="left"/>
      <w:pPr>
        <w:tabs>
          <w:tab w:val="num" w:pos="2880"/>
        </w:tabs>
        <w:ind w:left="2880" w:hanging="360"/>
      </w:pPr>
      <w:rPr>
        <w:rFonts w:ascii="Arial" w:hAnsi="Arial" w:hint="default"/>
      </w:rPr>
    </w:lvl>
    <w:lvl w:ilvl="4" w:tplc="010A1E38" w:tentative="1">
      <w:start w:val="1"/>
      <w:numFmt w:val="bullet"/>
      <w:lvlText w:val="–"/>
      <w:lvlJc w:val="left"/>
      <w:pPr>
        <w:tabs>
          <w:tab w:val="num" w:pos="3600"/>
        </w:tabs>
        <w:ind w:left="3600" w:hanging="360"/>
      </w:pPr>
      <w:rPr>
        <w:rFonts w:ascii="Arial" w:hAnsi="Arial" w:hint="default"/>
      </w:rPr>
    </w:lvl>
    <w:lvl w:ilvl="5" w:tplc="A134E0C8" w:tentative="1">
      <w:start w:val="1"/>
      <w:numFmt w:val="bullet"/>
      <w:lvlText w:val="–"/>
      <w:lvlJc w:val="left"/>
      <w:pPr>
        <w:tabs>
          <w:tab w:val="num" w:pos="4320"/>
        </w:tabs>
        <w:ind w:left="4320" w:hanging="360"/>
      </w:pPr>
      <w:rPr>
        <w:rFonts w:ascii="Arial" w:hAnsi="Arial" w:hint="default"/>
      </w:rPr>
    </w:lvl>
    <w:lvl w:ilvl="6" w:tplc="E2265EFE" w:tentative="1">
      <w:start w:val="1"/>
      <w:numFmt w:val="bullet"/>
      <w:lvlText w:val="–"/>
      <w:lvlJc w:val="left"/>
      <w:pPr>
        <w:tabs>
          <w:tab w:val="num" w:pos="5040"/>
        </w:tabs>
        <w:ind w:left="5040" w:hanging="360"/>
      </w:pPr>
      <w:rPr>
        <w:rFonts w:ascii="Arial" w:hAnsi="Arial" w:hint="default"/>
      </w:rPr>
    </w:lvl>
    <w:lvl w:ilvl="7" w:tplc="D5801366" w:tentative="1">
      <w:start w:val="1"/>
      <w:numFmt w:val="bullet"/>
      <w:lvlText w:val="–"/>
      <w:lvlJc w:val="left"/>
      <w:pPr>
        <w:tabs>
          <w:tab w:val="num" w:pos="5760"/>
        </w:tabs>
        <w:ind w:left="5760" w:hanging="360"/>
      </w:pPr>
      <w:rPr>
        <w:rFonts w:ascii="Arial" w:hAnsi="Arial" w:hint="default"/>
      </w:rPr>
    </w:lvl>
    <w:lvl w:ilvl="8" w:tplc="8286B5BE" w:tentative="1">
      <w:start w:val="1"/>
      <w:numFmt w:val="bullet"/>
      <w:lvlText w:val="–"/>
      <w:lvlJc w:val="left"/>
      <w:pPr>
        <w:tabs>
          <w:tab w:val="num" w:pos="6480"/>
        </w:tabs>
        <w:ind w:left="6480" w:hanging="360"/>
      </w:pPr>
      <w:rPr>
        <w:rFonts w:ascii="Arial" w:hAnsi="Arial" w:hint="default"/>
      </w:rPr>
    </w:lvl>
  </w:abstractNum>
  <w:abstractNum w:abstractNumId="23">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4">
    <w:nsid w:val="72306ADB"/>
    <w:multiLevelType w:val="hybridMultilevel"/>
    <w:tmpl w:val="384AB7DA"/>
    <w:lvl w:ilvl="0" w:tplc="FD5EC9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461D47"/>
    <w:multiLevelType w:val="hybridMultilevel"/>
    <w:tmpl w:val="B15C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BF33A0"/>
    <w:multiLevelType w:val="hybridMultilevel"/>
    <w:tmpl w:val="62364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415D02"/>
    <w:multiLevelType w:val="hybridMultilevel"/>
    <w:tmpl w:val="A6F44F58"/>
    <w:lvl w:ilvl="0" w:tplc="54C44F52">
      <w:start w:val="1"/>
      <w:numFmt w:val="bullet"/>
      <w:lvlText w:val="•"/>
      <w:lvlJc w:val="left"/>
      <w:pPr>
        <w:tabs>
          <w:tab w:val="num" w:pos="720"/>
        </w:tabs>
        <w:ind w:left="720" w:hanging="360"/>
      </w:pPr>
      <w:rPr>
        <w:rFonts w:ascii="Arial" w:hAnsi="Arial" w:hint="default"/>
      </w:rPr>
    </w:lvl>
    <w:lvl w:ilvl="1" w:tplc="4B402BAC">
      <w:start w:val="639"/>
      <w:numFmt w:val="bullet"/>
      <w:lvlText w:val="–"/>
      <w:lvlJc w:val="left"/>
      <w:pPr>
        <w:tabs>
          <w:tab w:val="num" w:pos="1440"/>
        </w:tabs>
        <w:ind w:left="1440" w:hanging="360"/>
      </w:pPr>
      <w:rPr>
        <w:rFonts w:ascii="Arial" w:hAnsi="Arial" w:hint="default"/>
      </w:rPr>
    </w:lvl>
    <w:lvl w:ilvl="2" w:tplc="AF2243DE" w:tentative="1">
      <w:start w:val="1"/>
      <w:numFmt w:val="bullet"/>
      <w:lvlText w:val="•"/>
      <w:lvlJc w:val="left"/>
      <w:pPr>
        <w:tabs>
          <w:tab w:val="num" w:pos="2160"/>
        </w:tabs>
        <w:ind w:left="2160" w:hanging="360"/>
      </w:pPr>
      <w:rPr>
        <w:rFonts w:ascii="Arial" w:hAnsi="Arial" w:hint="default"/>
      </w:rPr>
    </w:lvl>
    <w:lvl w:ilvl="3" w:tplc="081EBBD2" w:tentative="1">
      <w:start w:val="1"/>
      <w:numFmt w:val="bullet"/>
      <w:lvlText w:val="•"/>
      <w:lvlJc w:val="left"/>
      <w:pPr>
        <w:tabs>
          <w:tab w:val="num" w:pos="2880"/>
        </w:tabs>
        <w:ind w:left="2880" w:hanging="360"/>
      </w:pPr>
      <w:rPr>
        <w:rFonts w:ascii="Arial" w:hAnsi="Arial" w:hint="default"/>
      </w:rPr>
    </w:lvl>
    <w:lvl w:ilvl="4" w:tplc="FAD446A8" w:tentative="1">
      <w:start w:val="1"/>
      <w:numFmt w:val="bullet"/>
      <w:lvlText w:val="•"/>
      <w:lvlJc w:val="left"/>
      <w:pPr>
        <w:tabs>
          <w:tab w:val="num" w:pos="3600"/>
        </w:tabs>
        <w:ind w:left="3600" w:hanging="360"/>
      </w:pPr>
      <w:rPr>
        <w:rFonts w:ascii="Arial" w:hAnsi="Arial" w:hint="default"/>
      </w:rPr>
    </w:lvl>
    <w:lvl w:ilvl="5" w:tplc="2F16E6CE" w:tentative="1">
      <w:start w:val="1"/>
      <w:numFmt w:val="bullet"/>
      <w:lvlText w:val="•"/>
      <w:lvlJc w:val="left"/>
      <w:pPr>
        <w:tabs>
          <w:tab w:val="num" w:pos="4320"/>
        </w:tabs>
        <w:ind w:left="4320" w:hanging="360"/>
      </w:pPr>
      <w:rPr>
        <w:rFonts w:ascii="Arial" w:hAnsi="Arial" w:hint="default"/>
      </w:rPr>
    </w:lvl>
    <w:lvl w:ilvl="6" w:tplc="EC32DC08" w:tentative="1">
      <w:start w:val="1"/>
      <w:numFmt w:val="bullet"/>
      <w:lvlText w:val="•"/>
      <w:lvlJc w:val="left"/>
      <w:pPr>
        <w:tabs>
          <w:tab w:val="num" w:pos="5040"/>
        </w:tabs>
        <w:ind w:left="5040" w:hanging="360"/>
      </w:pPr>
      <w:rPr>
        <w:rFonts w:ascii="Arial" w:hAnsi="Arial" w:hint="default"/>
      </w:rPr>
    </w:lvl>
    <w:lvl w:ilvl="7" w:tplc="B742F6C6" w:tentative="1">
      <w:start w:val="1"/>
      <w:numFmt w:val="bullet"/>
      <w:lvlText w:val="•"/>
      <w:lvlJc w:val="left"/>
      <w:pPr>
        <w:tabs>
          <w:tab w:val="num" w:pos="5760"/>
        </w:tabs>
        <w:ind w:left="5760" w:hanging="360"/>
      </w:pPr>
      <w:rPr>
        <w:rFonts w:ascii="Arial" w:hAnsi="Arial" w:hint="default"/>
      </w:rPr>
    </w:lvl>
    <w:lvl w:ilvl="8" w:tplc="90720D3E" w:tentative="1">
      <w:start w:val="1"/>
      <w:numFmt w:val="bullet"/>
      <w:lvlText w:val="•"/>
      <w:lvlJc w:val="left"/>
      <w:pPr>
        <w:tabs>
          <w:tab w:val="num" w:pos="6480"/>
        </w:tabs>
        <w:ind w:left="6480" w:hanging="360"/>
      </w:pPr>
      <w:rPr>
        <w:rFonts w:ascii="Arial" w:hAnsi="Arial" w:hint="default"/>
      </w:rPr>
    </w:lvl>
  </w:abstractNum>
  <w:abstractNum w:abstractNumId="28">
    <w:nsid w:val="79131AB7"/>
    <w:multiLevelType w:val="hybridMultilevel"/>
    <w:tmpl w:val="2C52A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9352D4C"/>
    <w:multiLevelType w:val="hybridMultilevel"/>
    <w:tmpl w:val="0DB88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C12912"/>
    <w:multiLevelType w:val="hybridMultilevel"/>
    <w:tmpl w:val="8C40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23"/>
  </w:num>
  <w:num w:numId="9">
    <w:abstractNumId w:val="12"/>
  </w:num>
  <w:num w:numId="10">
    <w:abstractNumId w:val="15"/>
  </w:num>
  <w:num w:numId="11">
    <w:abstractNumId w:val="13"/>
  </w:num>
  <w:num w:numId="12">
    <w:abstractNumId w:val="8"/>
  </w:num>
  <w:num w:numId="13">
    <w:abstractNumId w:val="22"/>
  </w:num>
  <w:num w:numId="14">
    <w:abstractNumId w:val="27"/>
  </w:num>
  <w:num w:numId="15">
    <w:abstractNumId w:val="3"/>
  </w:num>
  <w:num w:numId="16">
    <w:abstractNumId w:val="28"/>
  </w:num>
  <w:num w:numId="17">
    <w:abstractNumId w:val="2"/>
  </w:num>
  <w:num w:numId="18">
    <w:abstractNumId w:val="4"/>
  </w:num>
  <w:num w:numId="19">
    <w:abstractNumId w:val="24"/>
  </w:num>
  <w:num w:numId="20">
    <w:abstractNumId w:val="6"/>
  </w:num>
  <w:num w:numId="21">
    <w:abstractNumId w:val="29"/>
  </w:num>
  <w:num w:numId="22">
    <w:abstractNumId w:val="9"/>
  </w:num>
  <w:num w:numId="23">
    <w:abstractNumId w:val="30"/>
  </w:num>
  <w:num w:numId="24">
    <w:abstractNumId w:val="26"/>
  </w:num>
  <w:num w:numId="25">
    <w:abstractNumId w:val="5"/>
  </w:num>
  <w:num w:numId="26">
    <w:abstractNumId w:val="20"/>
  </w:num>
  <w:num w:numId="27">
    <w:abstractNumId w:val="21"/>
  </w:num>
  <w:num w:numId="28">
    <w:abstractNumId w:val="25"/>
  </w:num>
  <w:num w:numId="29">
    <w:abstractNumId w:val="18"/>
  </w:num>
  <w:num w:numId="30">
    <w:abstractNumId w:val="1"/>
  </w:num>
  <w:num w:numId="31">
    <w:abstractNumId w:val="14"/>
  </w:num>
  <w:num w:numId="32">
    <w:abstractNumId w:val="19"/>
  </w:num>
  <w:num w:numId="33">
    <w:abstractNumId w:val="17"/>
  </w:num>
  <w:num w:numId="34">
    <w:abstractNumId w:val="10"/>
  </w:num>
  <w:num w:numId="35">
    <w:abstractNumId w:val="7"/>
  </w:num>
  <w:num w:numId="36">
    <w:abstractNumId w:val="23"/>
  </w:num>
  <w:num w:numId="37">
    <w:abstractNumId w:val="23"/>
  </w:num>
  <w:num w:numId="38">
    <w:abstractNumId w:val="23"/>
  </w:num>
  <w:num w:numId="39">
    <w:abstractNumId w:val="23"/>
  </w:num>
  <w:num w:numId="40">
    <w:abstractNumId w:val="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E0F"/>
    <w:rsid w:val="000069D3"/>
    <w:rsid w:val="000133BF"/>
    <w:rsid w:val="0001617D"/>
    <w:rsid w:val="00021E4B"/>
    <w:rsid w:val="000222C3"/>
    <w:rsid w:val="00033F36"/>
    <w:rsid w:val="00040923"/>
    <w:rsid w:val="00041643"/>
    <w:rsid w:val="00042C6D"/>
    <w:rsid w:val="000430B3"/>
    <w:rsid w:val="00044330"/>
    <w:rsid w:val="000469BC"/>
    <w:rsid w:val="00050EF5"/>
    <w:rsid w:val="0005609F"/>
    <w:rsid w:val="00063703"/>
    <w:rsid w:val="00065E0F"/>
    <w:rsid w:val="000663B0"/>
    <w:rsid w:val="000704AE"/>
    <w:rsid w:val="000705BA"/>
    <w:rsid w:val="00070A76"/>
    <w:rsid w:val="00071505"/>
    <w:rsid w:val="00081338"/>
    <w:rsid w:val="00082079"/>
    <w:rsid w:val="00086F7E"/>
    <w:rsid w:val="00091F7B"/>
    <w:rsid w:val="00092912"/>
    <w:rsid w:val="000951AD"/>
    <w:rsid w:val="00095AC2"/>
    <w:rsid w:val="00095D60"/>
    <w:rsid w:val="00097167"/>
    <w:rsid w:val="00097B58"/>
    <w:rsid w:val="000A0773"/>
    <w:rsid w:val="000A44BC"/>
    <w:rsid w:val="000A7C28"/>
    <w:rsid w:val="000B1265"/>
    <w:rsid w:val="000B4F21"/>
    <w:rsid w:val="000C5F97"/>
    <w:rsid w:val="000D238A"/>
    <w:rsid w:val="000D3783"/>
    <w:rsid w:val="000D6A35"/>
    <w:rsid w:val="000E651E"/>
    <w:rsid w:val="000F24D2"/>
    <w:rsid w:val="00101D10"/>
    <w:rsid w:val="00104E6B"/>
    <w:rsid w:val="00106BE9"/>
    <w:rsid w:val="00113F10"/>
    <w:rsid w:val="00125576"/>
    <w:rsid w:val="00131A8F"/>
    <w:rsid w:val="00131C79"/>
    <w:rsid w:val="00134042"/>
    <w:rsid w:val="00134C91"/>
    <w:rsid w:val="0014059C"/>
    <w:rsid w:val="00142609"/>
    <w:rsid w:val="00150C1B"/>
    <w:rsid w:val="001518B6"/>
    <w:rsid w:val="00155992"/>
    <w:rsid w:val="001566B3"/>
    <w:rsid w:val="00164C54"/>
    <w:rsid w:val="00165A36"/>
    <w:rsid w:val="00173C9E"/>
    <w:rsid w:val="00173F25"/>
    <w:rsid w:val="00180E24"/>
    <w:rsid w:val="00183E49"/>
    <w:rsid w:val="00191DD7"/>
    <w:rsid w:val="001A1D6C"/>
    <w:rsid w:val="001A2A4A"/>
    <w:rsid w:val="001A3860"/>
    <w:rsid w:val="001A45B4"/>
    <w:rsid w:val="001A569D"/>
    <w:rsid w:val="001A6977"/>
    <w:rsid w:val="001B308C"/>
    <w:rsid w:val="001C2994"/>
    <w:rsid w:val="001C29D9"/>
    <w:rsid w:val="001D0C54"/>
    <w:rsid w:val="001E3DCE"/>
    <w:rsid w:val="001E696B"/>
    <w:rsid w:val="001F355B"/>
    <w:rsid w:val="001F4967"/>
    <w:rsid w:val="001F6675"/>
    <w:rsid w:val="001F7CF4"/>
    <w:rsid w:val="002115EB"/>
    <w:rsid w:val="00214653"/>
    <w:rsid w:val="002156E0"/>
    <w:rsid w:val="00217365"/>
    <w:rsid w:val="00221633"/>
    <w:rsid w:val="002228D6"/>
    <w:rsid w:val="002275D0"/>
    <w:rsid w:val="0023108B"/>
    <w:rsid w:val="00231E2D"/>
    <w:rsid w:val="00233538"/>
    <w:rsid w:val="00237043"/>
    <w:rsid w:val="002372FD"/>
    <w:rsid w:val="00241F99"/>
    <w:rsid w:val="00246F45"/>
    <w:rsid w:val="00250B6D"/>
    <w:rsid w:val="00256E75"/>
    <w:rsid w:val="00266173"/>
    <w:rsid w:val="00267896"/>
    <w:rsid w:val="00270073"/>
    <w:rsid w:val="002715D1"/>
    <w:rsid w:val="00274467"/>
    <w:rsid w:val="00276237"/>
    <w:rsid w:val="00276564"/>
    <w:rsid w:val="00280703"/>
    <w:rsid w:val="002865AC"/>
    <w:rsid w:val="00292A01"/>
    <w:rsid w:val="00294929"/>
    <w:rsid w:val="002A698C"/>
    <w:rsid w:val="002B24A6"/>
    <w:rsid w:val="002C0A20"/>
    <w:rsid w:val="002C597E"/>
    <w:rsid w:val="002E0038"/>
    <w:rsid w:val="002F1721"/>
    <w:rsid w:val="002F392E"/>
    <w:rsid w:val="002F6761"/>
    <w:rsid w:val="00301A4E"/>
    <w:rsid w:val="00305ADB"/>
    <w:rsid w:val="00306A5C"/>
    <w:rsid w:val="003134C9"/>
    <w:rsid w:val="003244C6"/>
    <w:rsid w:val="00324D00"/>
    <w:rsid w:val="00332371"/>
    <w:rsid w:val="00334AD8"/>
    <w:rsid w:val="00340C95"/>
    <w:rsid w:val="00346391"/>
    <w:rsid w:val="00355FCB"/>
    <w:rsid w:val="0036168A"/>
    <w:rsid w:val="00372E19"/>
    <w:rsid w:val="00380628"/>
    <w:rsid w:val="00380D94"/>
    <w:rsid w:val="00382130"/>
    <w:rsid w:val="0038547E"/>
    <w:rsid w:val="003931D2"/>
    <w:rsid w:val="003960ED"/>
    <w:rsid w:val="003A6929"/>
    <w:rsid w:val="003A69A9"/>
    <w:rsid w:val="003B361C"/>
    <w:rsid w:val="003C4265"/>
    <w:rsid w:val="003C5863"/>
    <w:rsid w:val="003E13D7"/>
    <w:rsid w:val="003E157A"/>
    <w:rsid w:val="003E1759"/>
    <w:rsid w:val="003E37E0"/>
    <w:rsid w:val="003E5BAD"/>
    <w:rsid w:val="003F1085"/>
    <w:rsid w:val="003F7FD5"/>
    <w:rsid w:val="0040171D"/>
    <w:rsid w:val="004056F3"/>
    <w:rsid w:val="0041359E"/>
    <w:rsid w:val="004142F5"/>
    <w:rsid w:val="004147F0"/>
    <w:rsid w:val="00417390"/>
    <w:rsid w:val="00417B0E"/>
    <w:rsid w:val="00417B4F"/>
    <w:rsid w:val="00426392"/>
    <w:rsid w:val="00433E18"/>
    <w:rsid w:val="004373FE"/>
    <w:rsid w:val="00440396"/>
    <w:rsid w:val="0044315B"/>
    <w:rsid w:val="00447172"/>
    <w:rsid w:val="00456E87"/>
    <w:rsid w:val="0046085C"/>
    <w:rsid w:val="004622F1"/>
    <w:rsid w:val="00464A12"/>
    <w:rsid w:val="0046797E"/>
    <w:rsid w:val="00470DAC"/>
    <w:rsid w:val="0049578C"/>
    <w:rsid w:val="00495DED"/>
    <w:rsid w:val="00496889"/>
    <w:rsid w:val="00496A60"/>
    <w:rsid w:val="00497E3F"/>
    <w:rsid w:val="004A3AB6"/>
    <w:rsid w:val="004A473F"/>
    <w:rsid w:val="004B45A9"/>
    <w:rsid w:val="004B489E"/>
    <w:rsid w:val="004C11B9"/>
    <w:rsid w:val="004D3EDD"/>
    <w:rsid w:val="004D6EF1"/>
    <w:rsid w:val="004E04DE"/>
    <w:rsid w:val="004E3DA6"/>
    <w:rsid w:val="004F0B9A"/>
    <w:rsid w:val="004F5EBD"/>
    <w:rsid w:val="004F6D28"/>
    <w:rsid w:val="00500DCE"/>
    <w:rsid w:val="00523BFA"/>
    <w:rsid w:val="00524057"/>
    <w:rsid w:val="0053187D"/>
    <w:rsid w:val="005325A2"/>
    <w:rsid w:val="00532A44"/>
    <w:rsid w:val="0053326B"/>
    <w:rsid w:val="005335B7"/>
    <w:rsid w:val="0054036E"/>
    <w:rsid w:val="00540537"/>
    <w:rsid w:val="00543255"/>
    <w:rsid w:val="005510BB"/>
    <w:rsid w:val="00551198"/>
    <w:rsid w:val="0055355A"/>
    <w:rsid w:val="00553D23"/>
    <w:rsid w:val="00566562"/>
    <w:rsid w:val="00573A90"/>
    <w:rsid w:val="00575901"/>
    <w:rsid w:val="00580147"/>
    <w:rsid w:val="0058268F"/>
    <w:rsid w:val="00584718"/>
    <w:rsid w:val="00596BC9"/>
    <w:rsid w:val="005A1A84"/>
    <w:rsid w:val="005A1DB4"/>
    <w:rsid w:val="005B6A6D"/>
    <w:rsid w:val="005C0A4C"/>
    <w:rsid w:val="005C4D02"/>
    <w:rsid w:val="005C5BA7"/>
    <w:rsid w:val="005E2BAF"/>
    <w:rsid w:val="005F3E14"/>
    <w:rsid w:val="006002FF"/>
    <w:rsid w:val="00602E21"/>
    <w:rsid w:val="0060496D"/>
    <w:rsid w:val="006142D7"/>
    <w:rsid w:val="006259C7"/>
    <w:rsid w:val="00627B0A"/>
    <w:rsid w:val="00631E3C"/>
    <w:rsid w:val="006328EE"/>
    <w:rsid w:val="00641AB7"/>
    <w:rsid w:val="00654B92"/>
    <w:rsid w:val="0066240D"/>
    <w:rsid w:val="00664D97"/>
    <w:rsid w:val="00670835"/>
    <w:rsid w:val="00677753"/>
    <w:rsid w:val="00680618"/>
    <w:rsid w:val="00680C9C"/>
    <w:rsid w:val="006820B7"/>
    <w:rsid w:val="00693A87"/>
    <w:rsid w:val="00693D37"/>
    <w:rsid w:val="006A099D"/>
    <w:rsid w:val="006A1778"/>
    <w:rsid w:val="006A5DEC"/>
    <w:rsid w:val="006B03BB"/>
    <w:rsid w:val="006B237E"/>
    <w:rsid w:val="006B42B6"/>
    <w:rsid w:val="006B7F07"/>
    <w:rsid w:val="006C45C0"/>
    <w:rsid w:val="006C4971"/>
    <w:rsid w:val="006D02E1"/>
    <w:rsid w:val="006D2B33"/>
    <w:rsid w:val="006D4B31"/>
    <w:rsid w:val="006E0330"/>
    <w:rsid w:val="006E0B72"/>
    <w:rsid w:val="006E184F"/>
    <w:rsid w:val="006E4F06"/>
    <w:rsid w:val="006E7083"/>
    <w:rsid w:val="006E7FF7"/>
    <w:rsid w:val="006F1A96"/>
    <w:rsid w:val="006F5A0F"/>
    <w:rsid w:val="006F6C10"/>
    <w:rsid w:val="00702E10"/>
    <w:rsid w:val="00703BF3"/>
    <w:rsid w:val="00705D6D"/>
    <w:rsid w:val="00711F75"/>
    <w:rsid w:val="00713663"/>
    <w:rsid w:val="00714C5B"/>
    <w:rsid w:val="00715D26"/>
    <w:rsid w:val="007213F1"/>
    <w:rsid w:val="00726EC0"/>
    <w:rsid w:val="0073318B"/>
    <w:rsid w:val="007472CC"/>
    <w:rsid w:val="00763730"/>
    <w:rsid w:val="007748EB"/>
    <w:rsid w:val="00785769"/>
    <w:rsid w:val="007960DE"/>
    <w:rsid w:val="007A07D3"/>
    <w:rsid w:val="007A4B5C"/>
    <w:rsid w:val="007A6232"/>
    <w:rsid w:val="007A6608"/>
    <w:rsid w:val="007A726A"/>
    <w:rsid w:val="007B0C1A"/>
    <w:rsid w:val="007B421F"/>
    <w:rsid w:val="007B4D29"/>
    <w:rsid w:val="007B6A26"/>
    <w:rsid w:val="007B6C4D"/>
    <w:rsid w:val="007C5404"/>
    <w:rsid w:val="007C5A15"/>
    <w:rsid w:val="007D204D"/>
    <w:rsid w:val="007D221A"/>
    <w:rsid w:val="007D5760"/>
    <w:rsid w:val="007D73BB"/>
    <w:rsid w:val="007D7BD1"/>
    <w:rsid w:val="007E0B8C"/>
    <w:rsid w:val="007E7159"/>
    <w:rsid w:val="007F2809"/>
    <w:rsid w:val="007F4154"/>
    <w:rsid w:val="007F5592"/>
    <w:rsid w:val="007F57CC"/>
    <w:rsid w:val="007F7131"/>
    <w:rsid w:val="00801F50"/>
    <w:rsid w:val="00802A26"/>
    <w:rsid w:val="0080669A"/>
    <w:rsid w:val="00810147"/>
    <w:rsid w:val="00811D17"/>
    <w:rsid w:val="0081343A"/>
    <w:rsid w:val="00815BA4"/>
    <w:rsid w:val="00815F9A"/>
    <w:rsid w:val="00817906"/>
    <w:rsid w:val="008240F1"/>
    <w:rsid w:val="00825CE2"/>
    <w:rsid w:val="008362C3"/>
    <w:rsid w:val="00836521"/>
    <w:rsid w:val="008408FD"/>
    <w:rsid w:val="00853B65"/>
    <w:rsid w:val="00855930"/>
    <w:rsid w:val="00862E4D"/>
    <w:rsid w:val="00865DF9"/>
    <w:rsid w:val="00866D18"/>
    <w:rsid w:val="008757D8"/>
    <w:rsid w:val="008758D6"/>
    <w:rsid w:val="00877F43"/>
    <w:rsid w:val="00883657"/>
    <w:rsid w:val="00883847"/>
    <w:rsid w:val="008848AA"/>
    <w:rsid w:val="0089233A"/>
    <w:rsid w:val="008931F6"/>
    <w:rsid w:val="008975E4"/>
    <w:rsid w:val="008A66B4"/>
    <w:rsid w:val="008A67AB"/>
    <w:rsid w:val="008A7BD4"/>
    <w:rsid w:val="008B0749"/>
    <w:rsid w:val="008B11DE"/>
    <w:rsid w:val="008B31EA"/>
    <w:rsid w:val="008B4114"/>
    <w:rsid w:val="008B4D83"/>
    <w:rsid w:val="008B65C0"/>
    <w:rsid w:val="008C05A2"/>
    <w:rsid w:val="008C1DC6"/>
    <w:rsid w:val="008C402E"/>
    <w:rsid w:val="008C4085"/>
    <w:rsid w:val="008C5F85"/>
    <w:rsid w:val="008D3976"/>
    <w:rsid w:val="008E4120"/>
    <w:rsid w:val="008E5048"/>
    <w:rsid w:val="008E6BE1"/>
    <w:rsid w:val="008E781C"/>
    <w:rsid w:val="008F0619"/>
    <w:rsid w:val="008F477E"/>
    <w:rsid w:val="0090045B"/>
    <w:rsid w:val="00902408"/>
    <w:rsid w:val="0090259A"/>
    <w:rsid w:val="00905EFE"/>
    <w:rsid w:val="00910F7C"/>
    <w:rsid w:val="0091121D"/>
    <w:rsid w:val="009152BD"/>
    <w:rsid w:val="009256DC"/>
    <w:rsid w:val="00941ECA"/>
    <w:rsid w:val="009446BF"/>
    <w:rsid w:val="0095287F"/>
    <w:rsid w:val="00956522"/>
    <w:rsid w:val="00975C2F"/>
    <w:rsid w:val="00977CD8"/>
    <w:rsid w:val="00991E2D"/>
    <w:rsid w:val="00993CE3"/>
    <w:rsid w:val="0099430D"/>
    <w:rsid w:val="009A0109"/>
    <w:rsid w:val="009A2333"/>
    <w:rsid w:val="009B005D"/>
    <w:rsid w:val="009B40EC"/>
    <w:rsid w:val="009B534A"/>
    <w:rsid w:val="009C16EA"/>
    <w:rsid w:val="009C2D67"/>
    <w:rsid w:val="009C5C77"/>
    <w:rsid w:val="009C7166"/>
    <w:rsid w:val="009D0DEC"/>
    <w:rsid w:val="009D1766"/>
    <w:rsid w:val="009D2559"/>
    <w:rsid w:val="009D3B0C"/>
    <w:rsid w:val="009D5E6F"/>
    <w:rsid w:val="009D7C75"/>
    <w:rsid w:val="009E04E6"/>
    <w:rsid w:val="009E3639"/>
    <w:rsid w:val="009E5925"/>
    <w:rsid w:val="009E6C88"/>
    <w:rsid w:val="009F22D4"/>
    <w:rsid w:val="00A0502A"/>
    <w:rsid w:val="00A053B1"/>
    <w:rsid w:val="00A05605"/>
    <w:rsid w:val="00A12B67"/>
    <w:rsid w:val="00A139CE"/>
    <w:rsid w:val="00A13D76"/>
    <w:rsid w:val="00A16299"/>
    <w:rsid w:val="00A21074"/>
    <w:rsid w:val="00A237A4"/>
    <w:rsid w:val="00A26DA2"/>
    <w:rsid w:val="00A30BBA"/>
    <w:rsid w:val="00A34346"/>
    <w:rsid w:val="00A36010"/>
    <w:rsid w:val="00A40BBD"/>
    <w:rsid w:val="00A475AE"/>
    <w:rsid w:val="00A50FF6"/>
    <w:rsid w:val="00A52186"/>
    <w:rsid w:val="00A53AB8"/>
    <w:rsid w:val="00A56E7C"/>
    <w:rsid w:val="00A62C66"/>
    <w:rsid w:val="00A66DE3"/>
    <w:rsid w:val="00A72AA3"/>
    <w:rsid w:val="00A73373"/>
    <w:rsid w:val="00A75DB5"/>
    <w:rsid w:val="00A76EA8"/>
    <w:rsid w:val="00A77EB6"/>
    <w:rsid w:val="00A81C6A"/>
    <w:rsid w:val="00A86981"/>
    <w:rsid w:val="00AA0DDF"/>
    <w:rsid w:val="00AA263E"/>
    <w:rsid w:val="00AB248B"/>
    <w:rsid w:val="00AB54F2"/>
    <w:rsid w:val="00AC0376"/>
    <w:rsid w:val="00AC080D"/>
    <w:rsid w:val="00AC4539"/>
    <w:rsid w:val="00AC7124"/>
    <w:rsid w:val="00AD1C3B"/>
    <w:rsid w:val="00AE0EDC"/>
    <w:rsid w:val="00AE1452"/>
    <w:rsid w:val="00AE5639"/>
    <w:rsid w:val="00AF17D6"/>
    <w:rsid w:val="00AF1F16"/>
    <w:rsid w:val="00AF320A"/>
    <w:rsid w:val="00B00754"/>
    <w:rsid w:val="00B00DF4"/>
    <w:rsid w:val="00B01BB1"/>
    <w:rsid w:val="00B0217F"/>
    <w:rsid w:val="00B0445B"/>
    <w:rsid w:val="00B05F1C"/>
    <w:rsid w:val="00B0713E"/>
    <w:rsid w:val="00B11338"/>
    <w:rsid w:val="00B1291D"/>
    <w:rsid w:val="00B139C4"/>
    <w:rsid w:val="00B13C10"/>
    <w:rsid w:val="00B14F9A"/>
    <w:rsid w:val="00B17C98"/>
    <w:rsid w:val="00B17F37"/>
    <w:rsid w:val="00B21ACE"/>
    <w:rsid w:val="00B21D0D"/>
    <w:rsid w:val="00B23714"/>
    <w:rsid w:val="00B23CCB"/>
    <w:rsid w:val="00B23E09"/>
    <w:rsid w:val="00B243EA"/>
    <w:rsid w:val="00B24B80"/>
    <w:rsid w:val="00B27E4D"/>
    <w:rsid w:val="00B41329"/>
    <w:rsid w:val="00B47C63"/>
    <w:rsid w:val="00B557AA"/>
    <w:rsid w:val="00B60BE5"/>
    <w:rsid w:val="00B61264"/>
    <w:rsid w:val="00B651BE"/>
    <w:rsid w:val="00B7016F"/>
    <w:rsid w:val="00B71744"/>
    <w:rsid w:val="00B7653D"/>
    <w:rsid w:val="00B77ECD"/>
    <w:rsid w:val="00B93DE3"/>
    <w:rsid w:val="00B96846"/>
    <w:rsid w:val="00B97486"/>
    <w:rsid w:val="00BA2BAF"/>
    <w:rsid w:val="00BA5D5A"/>
    <w:rsid w:val="00BB02FF"/>
    <w:rsid w:val="00BB6F69"/>
    <w:rsid w:val="00BB7588"/>
    <w:rsid w:val="00BC0200"/>
    <w:rsid w:val="00BC5F9A"/>
    <w:rsid w:val="00BC72A7"/>
    <w:rsid w:val="00BD04BD"/>
    <w:rsid w:val="00BD0DA8"/>
    <w:rsid w:val="00BD2158"/>
    <w:rsid w:val="00BD2D2A"/>
    <w:rsid w:val="00BD726A"/>
    <w:rsid w:val="00BE06BC"/>
    <w:rsid w:val="00BE604E"/>
    <w:rsid w:val="00BE6B29"/>
    <w:rsid w:val="00BE7F88"/>
    <w:rsid w:val="00BF0E9E"/>
    <w:rsid w:val="00BF2FB9"/>
    <w:rsid w:val="00BF53A4"/>
    <w:rsid w:val="00C00C2D"/>
    <w:rsid w:val="00C0116F"/>
    <w:rsid w:val="00C041E3"/>
    <w:rsid w:val="00C060BB"/>
    <w:rsid w:val="00C10037"/>
    <w:rsid w:val="00C120A7"/>
    <w:rsid w:val="00C1261B"/>
    <w:rsid w:val="00C1291F"/>
    <w:rsid w:val="00C12DA1"/>
    <w:rsid w:val="00C201AE"/>
    <w:rsid w:val="00C22773"/>
    <w:rsid w:val="00C23545"/>
    <w:rsid w:val="00C24ABF"/>
    <w:rsid w:val="00C2690D"/>
    <w:rsid w:val="00C34DEC"/>
    <w:rsid w:val="00C45365"/>
    <w:rsid w:val="00C45664"/>
    <w:rsid w:val="00C5094E"/>
    <w:rsid w:val="00C652A6"/>
    <w:rsid w:val="00C7443D"/>
    <w:rsid w:val="00C80212"/>
    <w:rsid w:val="00C81B28"/>
    <w:rsid w:val="00C820FE"/>
    <w:rsid w:val="00C8470D"/>
    <w:rsid w:val="00C86041"/>
    <w:rsid w:val="00C876D6"/>
    <w:rsid w:val="00C90D42"/>
    <w:rsid w:val="00C93524"/>
    <w:rsid w:val="00C948C7"/>
    <w:rsid w:val="00C9720F"/>
    <w:rsid w:val="00C977C2"/>
    <w:rsid w:val="00CA46BE"/>
    <w:rsid w:val="00CA574B"/>
    <w:rsid w:val="00CA7C28"/>
    <w:rsid w:val="00CB149D"/>
    <w:rsid w:val="00CB6C92"/>
    <w:rsid w:val="00CC3E97"/>
    <w:rsid w:val="00CD4D07"/>
    <w:rsid w:val="00CD5E36"/>
    <w:rsid w:val="00CE67AB"/>
    <w:rsid w:val="00CE73BF"/>
    <w:rsid w:val="00CF142B"/>
    <w:rsid w:val="00CF3BD9"/>
    <w:rsid w:val="00CF7158"/>
    <w:rsid w:val="00D012B5"/>
    <w:rsid w:val="00D030B1"/>
    <w:rsid w:val="00D15AB9"/>
    <w:rsid w:val="00D20230"/>
    <w:rsid w:val="00D20EA1"/>
    <w:rsid w:val="00D24B97"/>
    <w:rsid w:val="00D25167"/>
    <w:rsid w:val="00D25F2A"/>
    <w:rsid w:val="00D367F7"/>
    <w:rsid w:val="00D44039"/>
    <w:rsid w:val="00D47C74"/>
    <w:rsid w:val="00D47C89"/>
    <w:rsid w:val="00D51EAB"/>
    <w:rsid w:val="00D55A21"/>
    <w:rsid w:val="00D60919"/>
    <w:rsid w:val="00D647CC"/>
    <w:rsid w:val="00D66FC4"/>
    <w:rsid w:val="00D72BAE"/>
    <w:rsid w:val="00D818EE"/>
    <w:rsid w:val="00D94E40"/>
    <w:rsid w:val="00D95584"/>
    <w:rsid w:val="00DA1ED5"/>
    <w:rsid w:val="00DA311F"/>
    <w:rsid w:val="00DA4F5F"/>
    <w:rsid w:val="00DA5569"/>
    <w:rsid w:val="00DA5FBA"/>
    <w:rsid w:val="00DA6B19"/>
    <w:rsid w:val="00DB2D34"/>
    <w:rsid w:val="00DB7E7F"/>
    <w:rsid w:val="00DC1390"/>
    <w:rsid w:val="00DC7C39"/>
    <w:rsid w:val="00DD310A"/>
    <w:rsid w:val="00DE67D3"/>
    <w:rsid w:val="00DE71DD"/>
    <w:rsid w:val="00DF1DE1"/>
    <w:rsid w:val="00DF3EE0"/>
    <w:rsid w:val="00E0190B"/>
    <w:rsid w:val="00E04F8C"/>
    <w:rsid w:val="00E07689"/>
    <w:rsid w:val="00E16893"/>
    <w:rsid w:val="00E21353"/>
    <w:rsid w:val="00E24ED0"/>
    <w:rsid w:val="00E33D09"/>
    <w:rsid w:val="00E37E1C"/>
    <w:rsid w:val="00E419CB"/>
    <w:rsid w:val="00E42699"/>
    <w:rsid w:val="00E44C0D"/>
    <w:rsid w:val="00E473BC"/>
    <w:rsid w:val="00E53BA8"/>
    <w:rsid w:val="00E57588"/>
    <w:rsid w:val="00E57785"/>
    <w:rsid w:val="00E60835"/>
    <w:rsid w:val="00E6167B"/>
    <w:rsid w:val="00E618D6"/>
    <w:rsid w:val="00E66C38"/>
    <w:rsid w:val="00E704A0"/>
    <w:rsid w:val="00E7073F"/>
    <w:rsid w:val="00E72D18"/>
    <w:rsid w:val="00E75D5B"/>
    <w:rsid w:val="00E84741"/>
    <w:rsid w:val="00E85507"/>
    <w:rsid w:val="00E85E7A"/>
    <w:rsid w:val="00E91C31"/>
    <w:rsid w:val="00E92531"/>
    <w:rsid w:val="00E933BB"/>
    <w:rsid w:val="00E94F29"/>
    <w:rsid w:val="00E9681B"/>
    <w:rsid w:val="00EA15BD"/>
    <w:rsid w:val="00EA34BE"/>
    <w:rsid w:val="00EA7A53"/>
    <w:rsid w:val="00EB0CC2"/>
    <w:rsid w:val="00EB35DD"/>
    <w:rsid w:val="00EB6862"/>
    <w:rsid w:val="00EC1788"/>
    <w:rsid w:val="00EC61E0"/>
    <w:rsid w:val="00ED1DF2"/>
    <w:rsid w:val="00ED202A"/>
    <w:rsid w:val="00ED5E80"/>
    <w:rsid w:val="00ED6BC3"/>
    <w:rsid w:val="00EE2161"/>
    <w:rsid w:val="00EE2345"/>
    <w:rsid w:val="00EE5B76"/>
    <w:rsid w:val="00EE5E7E"/>
    <w:rsid w:val="00EE76B2"/>
    <w:rsid w:val="00EE7F57"/>
    <w:rsid w:val="00EF1F1D"/>
    <w:rsid w:val="00EF4EBC"/>
    <w:rsid w:val="00EF6430"/>
    <w:rsid w:val="00EF683B"/>
    <w:rsid w:val="00F00315"/>
    <w:rsid w:val="00F152B2"/>
    <w:rsid w:val="00F16028"/>
    <w:rsid w:val="00F2020F"/>
    <w:rsid w:val="00F206B1"/>
    <w:rsid w:val="00F20F7C"/>
    <w:rsid w:val="00F23245"/>
    <w:rsid w:val="00F253DC"/>
    <w:rsid w:val="00F35979"/>
    <w:rsid w:val="00F40FD4"/>
    <w:rsid w:val="00F43A9B"/>
    <w:rsid w:val="00F447A8"/>
    <w:rsid w:val="00F514DA"/>
    <w:rsid w:val="00F52E09"/>
    <w:rsid w:val="00F53D8C"/>
    <w:rsid w:val="00F608DF"/>
    <w:rsid w:val="00F60B50"/>
    <w:rsid w:val="00F659AD"/>
    <w:rsid w:val="00F75C3D"/>
    <w:rsid w:val="00F76F95"/>
    <w:rsid w:val="00F8409D"/>
    <w:rsid w:val="00F87342"/>
    <w:rsid w:val="00F9261E"/>
    <w:rsid w:val="00F9553E"/>
    <w:rsid w:val="00FA38ED"/>
    <w:rsid w:val="00FA4C1E"/>
    <w:rsid w:val="00FA4DE7"/>
    <w:rsid w:val="00FA630A"/>
    <w:rsid w:val="00FB0871"/>
    <w:rsid w:val="00FC0A61"/>
    <w:rsid w:val="00FC238A"/>
    <w:rsid w:val="00FC5AA2"/>
    <w:rsid w:val="00FC7DD4"/>
    <w:rsid w:val="00FE2EDE"/>
    <w:rsid w:val="00FE387D"/>
    <w:rsid w:val="00FE5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FS Normal"/>
    <w:qFormat/>
    <w:rsid w:val="00F76F95"/>
    <w:pPr>
      <w:spacing w:after="0" w:line="240" w:lineRule="auto"/>
    </w:pPr>
    <w:rPr>
      <w:rFonts w:cstheme="minorBidi"/>
      <w:lang w:val="en-GB"/>
    </w:rPr>
  </w:style>
  <w:style w:type="paragraph" w:styleId="Heading1">
    <w:name w:val="heading 1"/>
    <w:aliases w:val="FSHeading 1,Chapter heading"/>
    <w:basedOn w:val="Normal"/>
    <w:next w:val="Normal"/>
    <w:link w:val="Heading1Char"/>
    <w:uiPriority w:val="9"/>
    <w:qFormat/>
    <w:rsid w:val="00F76F95"/>
    <w:pPr>
      <w:keepNext/>
      <w:widowControl w:val="0"/>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9"/>
    <w:unhideWhenUsed/>
    <w:qFormat/>
    <w:rsid w:val="00BD0DA8"/>
    <w:pPr>
      <w:keepNext/>
      <w:widowControl w:val="0"/>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9"/>
    <w:unhideWhenUsed/>
    <w:qFormat/>
    <w:rsid w:val="00F76F95"/>
    <w:pPr>
      <w:keepNext/>
      <w:widowControl w:val="0"/>
      <w:spacing w:before="240" w:after="240"/>
      <w:ind w:left="851" w:hanging="851"/>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9"/>
    <w:unhideWhenUsed/>
    <w:qFormat/>
    <w:rsid w:val="00F76F95"/>
    <w:pPr>
      <w:keepNext/>
      <w:widowControl w:val="0"/>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9"/>
    <w:unhideWhenUsed/>
    <w:qFormat/>
    <w:rsid w:val="00F76F95"/>
    <w:pPr>
      <w:keepNext/>
      <w:widowControl w:val="0"/>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9"/>
    <w:rsid w:val="00F76F95"/>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9"/>
    <w:rsid w:val="00BD0DA8"/>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9"/>
    <w:rsid w:val="00F76F95"/>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9"/>
    <w:rsid w:val="00F76F95"/>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9"/>
    <w:rsid w:val="00F76F95"/>
    <w:rPr>
      <w:rFonts w:eastAsiaTheme="majorEastAsia" w:cstheme="majorBidi"/>
      <w:i/>
      <w:lang w:val="en-GB"/>
    </w:rPr>
  </w:style>
  <w:style w:type="character" w:customStyle="1" w:styleId="Heading6Char">
    <w:name w:val="Heading 6 Char"/>
    <w:basedOn w:val="DefaultParagraphFont"/>
    <w:link w:val="Heading6"/>
    <w:uiPriority w:val="9"/>
    <w:semiHidden/>
    <w:rsid w:val="008931F6"/>
    <w:rPr>
      <w:rFonts w:asciiTheme="majorHAnsi" w:eastAsiaTheme="majorEastAsia" w:hAnsiTheme="majorHAnsi" w:cstheme="majorBidi"/>
      <w:i/>
      <w:iCs/>
      <w:color w:val="243F60" w:themeColor="accent1" w:themeShade="7F"/>
      <w:lang w:val="en-GB"/>
    </w:rPr>
  </w:style>
  <w:style w:type="paragraph" w:styleId="Title">
    <w:name w:val="Title"/>
    <w:basedOn w:val="Normal"/>
    <w:next w:val="Normal"/>
    <w:link w:val="TitleChar"/>
    <w:uiPriority w:val="10"/>
    <w:qFormat/>
    <w:rsid w:val="008931F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1F6"/>
    <w:rPr>
      <w:rFonts w:eastAsiaTheme="majorEastAsia"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8931F6"/>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31F6"/>
    <w:rPr>
      <w:rFonts w:eastAsiaTheme="majorEastAsia" w:cstheme="majorBidi"/>
      <w:i/>
      <w:iCs/>
      <w:color w:val="4F81BD" w:themeColor="accent1"/>
      <w:spacing w:val="15"/>
      <w:sz w:val="24"/>
      <w:szCs w:val="24"/>
      <w:lang w:val="en-GB"/>
    </w:rPr>
  </w:style>
  <w:style w:type="character" w:styleId="Emphasis">
    <w:name w:val="Emphasis"/>
    <w:basedOn w:val="DefaultParagraphFont"/>
    <w:uiPriority w:val="20"/>
    <w:qFormat/>
    <w:rsid w:val="008931F6"/>
    <w:rPr>
      <w:i/>
      <w:iCs/>
    </w:rPr>
  </w:style>
  <w:style w:type="paragraph" w:styleId="ListParagraph">
    <w:name w:val="List Paragraph"/>
    <w:basedOn w:val="Normal"/>
    <w:uiPriority w:val="34"/>
    <w:qFormat/>
    <w:rsid w:val="008931F6"/>
    <w:pPr>
      <w:ind w:left="720"/>
      <w:contextualSpacing/>
    </w:pPr>
  </w:style>
  <w:style w:type="paragraph" w:styleId="Quote">
    <w:name w:val="Quote"/>
    <w:basedOn w:val="Normal"/>
    <w:next w:val="Normal"/>
    <w:link w:val="QuoteChar"/>
    <w:uiPriority w:val="29"/>
    <w:qFormat/>
    <w:rsid w:val="008931F6"/>
    <w:rPr>
      <w:i/>
      <w:iCs/>
      <w:color w:val="000000" w:themeColor="text1"/>
    </w:rPr>
  </w:style>
  <w:style w:type="character" w:customStyle="1" w:styleId="QuoteChar">
    <w:name w:val="Quote Char"/>
    <w:basedOn w:val="DefaultParagraphFont"/>
    <w:link w:val="Quote"/>
    <w:uiPriority w:val="29"/>
    <w:rsid w:val="008931F6"/>
    <w:rPr>
      <w:rFonts w:cs="Arial"/>
      <w:i/>
      <w:iCs/>
      <w:color w:val="000000" w:themeColor="text1"/>
      <w:lang w:val="en-GB"/>
    </w:rPr>
  </w:style>
  <w:style w:type="character" w:styleId="SubtleEmphasis">
    <w:name w:val="Subtle Emphasis"/>
    <w:basedOn w:val="DefaultParagraphFont"/>
    <w:uiPriority w:val="19"/>
    <w:qFormat/>
    <w:rsid w:val="008931F6"/>
    <w:rPr>
      <w:i/>
      <w:iCs/>
      <w:color w:val="808080" w:themeColor="text1" w:themeTint="7F"/>
    </w:rPr>
  </w:style>
  <w:style w:type="paragraph" w:styleId="TOCHeading">
    <w:name w:val="TOC Heading"/>
    <w:basedOn w:val="Heading1"/>
    <w:next w:val="Normal"/>
    <w:uiPriority w:val="39"/>
    <w:semiHidden/>
    <w:unhideWhenUsed/>
    <w:qFormat/>
    <w:rsid w:val="008931F6"/>
    <w:pPr>
      <w:outlineLvl w:val="9"/>
    </w:pPr>
    <w:rPr>
      <w:rFonts w:asciiTheme="majorHAnsi" w:hAnsiTheme="majorHAnsi"/>
    </w:rPr>
  </w:style>
  <w:style w:type="paragraph" w:customStyle="1" w:styleId="Table2">
    <w:name w:val="Table 2"/>
    <w:basedOn w:val="Normal"/>
    <w:rsid w:val="00F76F95"/>
    <w:pPr>
      <w:widowControl w:val="0"/>
      <w:ind w:left="142" w:hanging="142"/>
    </w:pPr>
    <w:rPr>
      <w:rFonts w:eastAsia="Times New Roman" w:cs="Times New Roman"/>
      <w:bCs/>
      <w:sz w:val="18"/>
      <w:szCs w:val="20"/>
    </w:rPr>
  </w:style>
  <w:style w:type="paragraph" w:customStyle="1" w:styleId="131ItemHeading">
    <w:name w:val="1.3.1 Item Heading"/>
    <w:basedOn w:val="Table2"/>
    <w:next w:val="Table2"/>
    <w:rsid w:val="00F76F95"/>
    <w:pPr>
      <w:keepNext/>
      <w:widowControl/>
      <w:tabs>
        <w:tab w:val="left" w:pos="851"/>
      </w:tabs>
      <w:spacing w:after="200"/>
      <w:ind w:left="0" w:firstLine="0"/>
    </w:pPr>
    <w:rPr>
      <w:b/>
      <w:bCs w:val="0"/>
      <w:caps/>
      <w:sz w:val="20"/>
    </w:rPr>
  </w:style>
  <w:style w:type="paragraph" w:customStyle="1" w:styleId="131Subitemheading">
    <w:name w:val="1.3.1 Subitem heading"/>
    <w:basedOn w:val="131ItemHeading"/>
    <w:next w:val="Table2"/>
    <w:rsid w:val="00F76F95"/>
    <w:pPr>
      <w:spacing w:after="120"/>
    </w:pPr>
    <w:rPr>
      <w:caps w:val="0"/>
      <w:sz w:val="18"/>
    </w:rPr>
  </w:style>
  <w:style w:type="paragraph" w:customStyle="1" w:styleId="142Tableheading1">
    <w:name w:val="1.4.2 Table heading1"/>
    <w:basedOn w:val="Normal"/>
    <w:rsid w:val="00F76F95"/>
    <w:pPr>
      <w:keepNext/>
      <w:widowControl w:val="0"/>
      <w:jc w:val="center"/>
    </w:pPr>
    <w:rPr>
      <w:rFonts w:ascii="Arial Bold" w:hAnsi="Arial Bold"/>
      <w:b/>
      <w:bCs/>
      <w:iCs/>
      <w:sz w:val="18"/>
    </w:rPr>
  </w:style>
  <w:style w:type="paragraph" w:customStyle="1" w:styleId="142Tableheading2">
    <w:name w:val="1.4.2 Table heading2"/>
    <w:basedOn w:val="142Tableheading1"/>
    <w:rsid w:val="00F76F95"/>
    <w:rPr>
      <w:rFonts w:ascii="Arial" w:eastAsia="Times New Roman" w:hAnsi="Arial" w:cs="Times New Roman"/>
      <w:b w:val="0"/>
      <w:iCs w:val="0"/>
      <w:szCs w:val="20"/>
    </w:rPr>
  </w:style>
  <w:style w:type="paragraph" w:customStyle="1" w:styleId="142Tabletext1">
    <w:name w:val="1.4.2 Table text1"/>
    <w:basedOn w:val="Normal"/>
    <w:link w:val="142Tabletext1Char"/>
    <w:rsid w:val="00F76F95"/>
    <w:pPr>
      <w:widowControl w:val="0"/>
      <w:ind w:left="142" w:hanging="142"/>
    </w:pPr>
    <w:rPr>
      <w:rFonts w:eastAsia="Times New Roman" w:cs="Times New Roman"/>
      <w:sz w:val="18"/>
      <w:szCs w:val="20"/>
    </w:rPr>
  </w:style>
  <w:style w:type="character" w:customStyle="1" w:styleId="142Tabletext1Char">
    <w:name w:val="1.4.2 Table text1 Char"/>
    <w:basedOn w:val="DefaultParagraphFont"/>
    <w:link w:val="142Tabletext1"/>
    <w:rsid w:val="00F76F95"/>
    <w:rPr>
      <w:rFonts w:eastAsia="Times New Roman" w:cs="Times New Roman"/>
      <w:sz w:val="18"/>
      <w:szCs w:val="20"/>
      <w:lang w:val="en-GB"/>
    </w:rPr>
  </w:style>
  <w:style w:type="paragraph" w:customStyle="1" w:styleId="142Tabletext2">
    <w:name w:val="1.4.2 Table text2"/>
    <w:basedOn w:val="142Tabletext1"/>
    <w:rsid w:val="00F76F95"/>
    <w:pPr>
      <w:jc w:val="right"/>
    </w:pPr>
  </w:style>
  <w:style w:type="paragraph" w:customStyle="1" w:styleId="Blankpage">
    <w:name w:val="Blank page"/>
    <w:basedOn w:val="Normal"/>
    <w:next w:val="Normal"/>
    <w:rsid w:val="00F76F95"/>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rsid w:val="00F76F95"/>
    <w:pPr>
      <w:widowControl w:val="0"/>
      <w:tabs>
        <w:tab w:val="left" w:pos="851"/>
      </w:tabs>
    </w:pPr>
    <w:rPr>
      <w:rFonts w:eastAsia="Times New Roman" w:cs="Times New Roman"/>
      <w:sz w:val="20"/>
      <w:szCs w:val="20"/>
    </w:rPr>
  </w:style>
  <w:style w:type="character" w:customStyle="1" w:styleId="ClauseChar">
    <w:name w:val="Clause Char"/>
    <w:basedOn w:val="DefaultParagraphFont"/>
    <w:link w:val="Clause"/>
    <w:rsid w:val="00F76F95"/>
    <w:rPr>
      <w:rFonts w:eastAsia="Times New Roman" w:cs="Times New Roman"/>
      <w:sz w:val="20"/>
      <w:szCs w:val="20"/>
      <w:lang w:val="en-GB"/>
    </w:rPr>
  </w:style>
  <w:style w:type="paragraph" w:customStyle="1" w:styleId="Clauseheading">
    <w:name w:val="Clause heading"/>
    <w:basedOn w:val="Normal"/>
    <w:next w:val="Normal"/>
    <w:rsid w:val="00F76F95"/>
    <w:pPr>
      <w:keepNext/>
      <w:widowControl w:val="0"/>
      <w:tabs>
        <w:tab w:val="left" w:pos="851"/>
      </w:tabs>
    </w:pPr>
    <w:rPr>
      <w:rFonts w:eastAsia="Times New Roman" w:cs="Times New Roman"/>
      <w:b/>
      <w:sz w:val="20"/>
      <w:szCs w:val="20"/>
    </w:rPr>
  </w:style>
  <w:style w:type="paragraph" w:customStyle="1" w:styleId="ClauseList">
    <w:name w:val="Clause List"/>
    <w:basedOn w:val="Clause"/>
    <w:next w:val="Normal"/>
    <w:rsid w:val="00F76F95"/>
    <w:pPr>
      <w:tabs>
        <w:tab w:val="clear" w:pos="851"/>
      </w:tabs>
      <w:ind w:left="851" w:hanging="851"/>
    </w:pPr>
  </w:style>
  <w:style w:type="paragraph" w:customStyle="1" w:styleId="Definition">
    <w:name w:val="Definition"/>
    <w:basedOn w:val="Normal"/>
    <w:next w:val="Normal"/>
    <w:uiPriority w:val="15"/>
    <w:qFormat/>
    <w:rsid w:val="00F76F95"/>
    <w:pPr>
      <w:widowControl w:val="0"/>
      <w:ind w:left="1701" w:hanging="851"/>
    </w:pPr>
    <w:rPr>
      <w:rFonts w:eastAsia="Times New Roman" w:cs="Times New Roman"/>
      <w:sz w:val="20"/>
      <w:szCs w:val="20"/>
    </w:rPr>
  </w:style>
  <w:style w:type="paragraph" w:customStyle="1" w:styleId="DivisionHeading">
    <w:name w:val="Division Heading"/>
    <w:basedOn w:val="Normal"/>
    <w:next w:val="Normal"/>
    <w:rsid w:val="00F76F95"/>
    <w:pPr>
      <w:keepNext/>
      <w:widowControl w:val="0"/>
      <w:tabs>
        <w:tab w:val="left" w:pos="851"/>
      </w:tabs>
      <w:jc w:val="center"/>
    </w:pPr>
    <w:rPr>
      <w:rFonts w:ascii="Arial Bold" w:eastAsia="Times New Roman" w:hAnsi="Arial Bold" w:cs="Times New Roman"/>
      <w:b/>
      <w:sz w:val="26"/>
      <w:szCs w:val="20"/>
    </w:rPr>
  </w:style>
  <w:style w:type="paragraph" w:customStyle="1" w:styleId="EditorialNoteLine1">
    <w:name w:val="Editorial Note Line 1"/>
    <w:basedOn w:val="Normal"/>
    <w:next w:val="Normal"/>
    <w:uiPriority w:val="16"/>
    <w:qFormat/>
    <w:rsid w:val="00F76F95"/>
    <w:pPr>
      <w:keepNext/>
      <w:widowControl w:val="0"/>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F76F95"/>
    <w:rPr>
      <w:b w:val="0"/>
    </w:rPr>
  </w:style>
  <w:style w:type="paragraph" w:styleId="Footer">
    <w:name w:val="footer"/>
    <w:aliases w:val="FSFooter"/>
    <w:basedOn w:val="Normal"/>
    <w:link w:val="FooterChar"/>
    <w:uiPriority w:val="99"/>
    <w:unhideWhenUsed/>
    <w:rsid w:val="00F76F95"/>
    <w:rPr>
      <w:sz w:val="20"/>
    </w:rPr>
  </w:style>
  <w:style w:type="character" w:customStyle="1" w:styleId="FooterChar">
    <w:name w:val="Footer Char"/>
    <w:aliases w:val="FSFooter Char"/>
    <w:basedOn w:val="DefaultParagraphFont"/>
    <w:link w:val="Footer"/>
    <w:uiPriority w:val="99"/>
    <w:rsid w:val="00F76F95"/>
    <w:rPr>
      <w:rFonts w:cstheme="minorBidi"/>
      <w:sz w:val="20"/>
      <w:lang w:val="en-GB"/>
    </w:rPr>
  </w:style>
  <w:style w:type="paragraph" w:customStyle="1" w:styleId="Footnote">
    <w:name w:val="Footnote"/>
    <w:basedOn w:val="Normal"/>
    <w:rsid w:val="00F76F95"/>
    <w:pPr>
      <w:widowControl w:val="0"/>
      <w:tabs>
        <w:tab w:val="left" w:pos="851"/>
      </w:tabs>
    </w:pPr>
    <w:rPr>
      <w:rFonts w:eastAsia="Times New Roman" w:cs="Times New Roman"/>
      <w:sz w:val="20"/>
      <w:szCs w:val="20"/>
    </w:rPr>
  </w:style>
  <w:style w:type="paragraph" w:styleId="FootnoteText">
    <w:name w:val="footnote text"/>
    <w:aliases w:val="FSFootnote Text,Footnotes Text,FSFootnotes Text"/>
    <w:basedOn w:val="Normal"/>
    <w:link w:val="FootnoteTextChar"/>
    <w:uiPriority w:val="99"/>
    <w:unhideWhenUsed/>
    <w:qFormat/>
    <w:rsid w:val="00F76F95"/>
    <w:pPr>
      <w:ind w:left="425" w:hanging="425"/>
    </w:pPr>
    <w:rPr>
      <w:sz w:val="18"/>
      <w:szCs w:val="20"/>
    </w:rPr>
  </w:style>
  <w:style w:type="character" w:customStyle="1" w:styleId="FootnoteTextChar">
    <w:name w:val="Footnote Text Char"/>
    <w:aliases w:val="FSFootnote Text Char,Footnotes Text Char,FSFootnotes Text Char"/>
    <w:basedOn w:val="DefaultParagraphFont"/>
    <w:link w:val="FootnoteText"/>
    <w:uiPriority w:val="99"/>
    <w:rsid w:val="00F76F95"/>
    <w:rPr>
      <w:rFonts w:cstheme="minorBidi"/>
      <w:sz w:val="18"/>
      <w:szCs w:val="20"/>
      <w:lang w:val="en-GB"/>
    </w:rPr>
  </w:style>
  <w:style w:type="paragraph" w:customStyle="1" w:styleId="FSBullet1">
    <w:name w:val="FSBullet 1"/>
    <w:basedOn w:val="Normal"/>
    <w:next w:val="Normal"/>
    <w:link w:val="FSBullet1Char"/>
    <w:qFormat/>
    <w:rsid w:val="00DE67D3"/>
    <w:pPr>
      <w:numPr>
        <w:numId w:val="8"/>
      </w:numPr>
      <w:ind w:left="567" w:hanging="567"/>
    </w:pPr>
    <w:rPr>
      <w:rFonts w:eastAsia="Times New Roman" w:cs="Arial"/>
      <w:szCs w:val="24"/>
    </w:rPr>
  </w:style>
  <w:style w:type="character" w:customStyle="1" w:styleId="FSBullet1Char">
    <w:name w:val="FSBullet 1 Char"/>
    <w:basedOn w:val="DefaultParagraphFont"/>
    <w:link w:val="FSBullet1"/>
    <w:rsid w:val="00DE67D3"/>
    <w:rPr>
      <w:rFonts w:eastAsia="Times New Roman"/>
      <w:szCs w:val="24"/>
      <w:lang w:val="en-GB"/>
    </w:rPr>
  </w:style>
  <w:style w:type="paragraph" w:customStyle="1" w:styleId="FSBullet2">
    <w:name w:val="FSBullet 2"/>
    <w:basedOn w:val="Normal"/>
    <w:qFormat/>
    <w:rsid w:val="00DE67D3"/>
    <w:pPr>
      <w:numPr>
        <w:numId w:val="9"/>
      </w:numPr>
      <w:ind w:left="1134" w:hanging="567"/>
    </w:pPr>
  </w:style>
  <w:style w:type="paragraph" w:customStyle="1" w:styleId="FSBullet3">
    <w:name w:val="FSBullet 3"/>
    <w:basedOn w:val="Normal"/>
    <w:qFormat/>
    <w:rsid w:val="00DE67D3"/>
    <w:pPr>
      <w:keepNext/>
      <w:numPr>
        <w:numId w:val="10"/>
      </w:numPr>
      <w:ind w:left="1701" w:hanging="567"/>
    </w:pPr>
  </w:style>
  <w:style w:type="paragraph" w:customStyle="1" w:styleId="FSCaption">
    <w:name w:val="FSCaption"/>
    <w:basedOn w:val="Normal"/>
    <w:qFormat/>
    <w:rsid w:val="00F76F95"/>
    <w:pPr>
      <w:keepNext/>
      <w:keepLines/>
      <w:spacing w:before="120"/>
    </w:pPr>
    <w:rPr>
      <w:i/>
      <w:sz w:val="16"/>
      <w:szCs w:val="16"/>
    </w:rPr>
  </w:style>
  <w:style w:type="paragraph" w:customStyle="1" w:styleId="FSCfooter">
    <w:name w:val="FSCfooter"/>
    <w:basedOn w:val="Normal"/>
    <w:qFormat/>
    <w:rsid w:val="00F76F95"/>
    <w:pPr>
      <w:tabs>
        <w:tab w:val="center" w:pos="4536"/>
        <w:tab w:val="right" w:pos="9072"/>
      </w:tabs>
    </w:pPr>
    <w:rPr>
      <w:rFonts w:eastAsia="Times New Roman" w:cs="Times New Roman"/>
      <w:sz w:val="18"/>
      <w:szCs w:val="20"/>
    </w:rPr>
  </w:style>
  <w:style w:type="paragraph" w:customStyle="1" w:styleId="FSCFooter0">
    <w:name w:val="FSCFooter"/>
    <w:basedOn w:val="Footnote"/>
    <w:qFormat/>
    <w:rsid w:val="00F76F95"/>
    <w:pPr>
      <w:tabs>
        <w:tab w:val="clear" w:pos="851"/>
        <w:tab w:val="center" w:pos="4536"/>
        <w:tab w:val="right" w:pos="9070"/>
      </w:tabs>
    </w:pPr>
    <w:rPr>
      <w:sz w:val="18"/>
      <w:szCs w:val="18"/>
    </w:rPr>
  </w:style>
  <w:style w:type="paragraph" w:customStyle="1" w:styleId="FSPagenumber">
    <w:name w:val="FSPage number"/>
    <w:basedOn w:val="Normal"/>
    <w:qFormat/>
    <w:rsid w:val="00F76F95"/>
    <w:pPr>
      <w:jc w:val="right"/>
    </w:pPr>
    <w:rPr>
      <w:sz w:val="20"/>
      <w:szCs w:val="20"/>
    </w:rPr>
  </w:style>
  <w:style w:type="paragraph" w:customStyle="1" w:styleId="FSTableColumnRowheading">
    <w:name w:val="FSTable Column/Row heading"/>
    <w:basedOn w:val="Normal"/>
    <w:qFormat/>
    <w:rsid w:val="00F76F95"/>
    <w:pPr>
      <w:spacing w:before="120" w:after="120"/>
    </w:pPr>
    <w:rPr>
      <w:b/>
      <w:sz w:val="20"/>
      <w:szCs w:val="20"/>
    </w:rPr>
  </w:style>
  <w:style w:type="paragraph" w:customStyle="1" w:styleId="FSTableFigureHeading">
    <w:name w:val="FSTable/Figure Heading"/>
    <w:basedOn w:val="Normal"/>
    <w:qFormat/>
    <w:rsid w:val="00F76F95"/>
    <w:pPr>
      <w:spacing w:before="120" w:after="120"/>
      <w:ind w:left="1134" w:hanging="1134"/>
    </w:pPr>
    <w:rPr>
      <w:b/>
      <w:i/>
    </w:rPr>
  </w:style>
  <w:style w:type="paragraph" w:styleId="Header">
    <w:name w:val="header"/>
    <w:aliases w:val="FSHeader"/>
    <w:basedOn w:val="Normal"/>
    <w:link w:val="HeaderChar"/>
    <w:unhideWhenUsed/>
    <w:qFormat/>
    <w:rsid w:val="00F76F95"/>
    <w:pPr>
      <w:jc w:val="center"/>
    </w:pPr>
    <w:rPr>
      <w:rFonts w:ascii="Arial Bold" w:hAnsi="Arial Bold"/>
      <w:b/>
      <w:caps/>
    </w:rPr>
  </w:style>
  <w:style w:type="character" w:customStyle="1" w:styleId="HeaderChar">
    <w:name w:val="Header Char"/>
    <w:aliases w:val="FSHeader Char"/>
    <w:basedOn w:val="DefaultParagraphFont"/>
    <w:link w:val="Header"/>
    <w:rsid w:val="00F76F95"/>
    <w:rPr>
      <w:rFonts w:ascii="Arial Bold" w:hAnsi="Arial Bold" w:cstheme="minorBidi"/>
      <w:b/>
      <w:caps/>
      <w:lang w:val="en-GB"/>
    </w:rPr>
  </w:style>
  <w:style w:type="paragraph" w:customStyle="1" w:styleId="MiscellaneousHeading">
    <w:name w:val="Miscellaneous Heading"/>
    <w:basedOn w:val="Normal"/>
    <w:rsid w:val="00F76F95"/>
    <w:pPr>
      <w:keepNext/>
      <w:widowControl w:val="0"/>
      <w:tabs>
        <w:tab w:val="left" w:pos="851"/>
      </w:tabs>
    </w:pPr>
    <w:rPr>
      <w:b/>
    </w:rPr>
  </w:style>
  <w:style w:type="paragraph" w:customStyle="1" w:styleId="Paragraph">
    <w:name w:val="Paragraph"/>
    <w:basedOn w:val="Clause"/>
    <w:next w:val="Normal"/>
    <w:rsid w:val="00F76F95"/>
    <w:pPr>
      <w:tabs>
        <w:tab w:val="clear" w:pos="851"/>
      </w:tabs>
      <w:ind w:left="1702" w:hanging="851"/>
    </w:pPr>
  </w:style>
  <w:style w:type="paragraph" w:customStyle="1" w:styleId="PartContents">
    <w:name w:val="Part Contents"/>
    <w:basedOn w:val="Normal"/>
    <w:rsid w:val="00F76F95"/>
    <w:pPr>
      <w:spacing w:line="240" w:lineRule="atLeast"/>
      <w:ind w:left="1120" w:hanging="560"/>
    </w:pPr>
    <w:rPr>
      <w:rFonts w:eastAsia="Times New Roman" w:cs="Times New Roman"/>
      <w:szCs w:val="20"/>
    </w:rPr>
  </w:style>
  <w:style w:type="paragraph" w:customStyle="1" w:styleId="PartHeading">
    <w:name w:val="Part Heading"/>
    <w:basedOn w:val="Normal"/>
    <w:rsid w:val="00F76F95"/>
    <w:pPr>
      <w:tabs>
        <w:tab w:val="left" w:pos="851"/>
      </w:tabs>
      <w:jc w:val="center"/>
    </w:pPr>
    <w:rPr>
      <w:rFonts w:eastAsia="Times New Roman" w:cs="Times New Roman"/>
      <w:b/>
      <w:i/>
      <w:sz w:val="36"/>
      <w:szCs w:val="20"/>
    </w:rPr>
  </w:style>
  <w:style w:type="paragraph" w:customStyle="1" w:styleId="ScheduleHeading">
    <w:name w:val="Schedule Heading"/>
    <w:basedOn w:val="Normal"/>
    <w:next w:val="Normal"/>
    <w:rsid w:val="00F76F95"/>
    <w:pPr>
      <w:widowControl w:val="0"/>
      <w:tabs>
        <w:tab w:val="left" w:pos="851"/>
      </w:tabs>
      <w:jc w:val="center"/>
    </w:pPr>
    <w:rPr>
      <w:rFonts w:eastAsia="Times New Roman" w:cs="Times New Roman"/>
      <w:b/>
      <w:caps/>
      <w:sz w:val="20"/>
      <w:szCs w:val="20"/>
    </w:rPr>
  </w:style>
  <w:style w:type="paragraph" w:customStyle="1" w:styleId="Standardtitle">
    <w:name w:val="Standard title"/>
    <w:basedOn w:val="Normal"/>
    <w:rsid w:val="00F76F95"/>
    <w:pPr>
      <w:keepNext/>
      <w:widowControl w:val="0"/>
      <w:tabs>
        <w:tab w:val="left" w:pos="851"/>
      </w:tabs>
      <w:jc w:val="center"/>
    </w:pPr>
    <w:rPr>
      <w:rFonts w:eastAsia="Times New Roman" w:cs="Times New Roman"/>
      <w:b/>
      <w:i/>
      <w:iCs/>
      <w:caps/>
      <w:sz w:val="28"/>
      <w:szCs w:val="20"/>
    </w:rPr>
  </w:style>
  <w:style w:type="paragraph" w:customStyle="1" w:styleId="Subclause">
    <w:name w:val="Subclause"/>
    <w:basedOn w:val="Clause"/>
    <w:rsid w:val="00F76F95"/>
  </w:style>
  <w:style w:type="paragraph" w:customStyle="1" w:styleId="Subparagraph">
    <w:name w:val="Subparagraph"/>
    <w:basedOn w:val="Paragraph"/>
    <w:next w:val="Normal"/>
    <w:uiPriority w:val="13"/>
    <w:qFormat/>
    <w:rsid w:val="00F76F95"/>
    <w:pPr>
      <w:ind w:left="2553"/>
    </w:pPr>
  </w:style>
  <w:style w:type="paragraph" w:customStyle="1" w:styleId="Table1">
    <w:name w:val="Table 1"/>
    <w:basedOn w:val="Normal"/>
    <w:rsid w:val="00F76F95"/>
    <w:pPr>
      <w:keepNext/>
      <w:widowControl w:val="0"/>
      <w:spacing w:after="120"/>
      <w:jc w:val="center"/>
    </w:pPr>
    <w:rPr>
      <w:rFonts w:eastAsia="Times New Roman" w:cs="Times New Roman"/>
      <w:b/>
      <w:bCs/>
      <w:sz w:val="18"/>
      <w:szCs w:val="20"/>
    </w:rPr>
  </w:style>
  <w:style w:type="paragraph" w:customStyle="1" w:styleId="TitleBorder">
    <w:name w:val="TitleBorder"/>
    <w:basedOn w:val="Normal"/>
    <w:rsid w:val="00F76F95"/>
    <w:pPr>
      <w:widowControl w:val="0"/>
      <w:pBdr>
        <w:bottom w:val="double" w:sz="6" w:space="0" w:color="auto"/>
      </w:pBdr>
      <w:tabs>
        <w:tab w:val="left" w:pos="851"/>
      </w:tabs>
    </w:pPr>
    <w:rPr>
      <w:rFonts w:eastAsia="Times New Roman" w:cs="Times New Roman"/>
      <w:sz w:val="20"/>
      <w:szCs w:val="20"/>
    </w:rPr>
  </w:style>
  <w:style w:type="paragraph" w:styleId="BalloonText">
    <w:name w:val="Balloon Text"/>
    <w:basedOn w:val="Normal"/>
    <w:link w:val="BalloonTextChar"/>
    <w:uiPriority w:val="99"/>
    <w:semiHidden/>
    <w:unhideWhenUsed/>
    <w:rsid w:val="007F7131"/>
    <w:rPr>
      <w:rFonts w:ascii="Tahoma" w:hAnsi="Tahoma" w:cs="Tahoma"/>
      <w:sz w:val="16"/>
      <w:szCs w:val="16"/>
    </w:rPr>
  </w:style>
  <w:style w:type="character" w:customStyle="1" w:styleId="BalloonTextChar">
    <w:name w:val="Balloon Text Char"/>
    <w:basedOn w:val="DefaultParagraphFont"/>
    <w:link w:val="BalloonText"/>
    <w:uiPriority w:val="99"/>
    <w:semiHidden/>
    <w:rsid w:val="007F7131"/>
    <w:rPr>
      <w:rFonts w:ascii="Tahoma" w:hAnsi="Tahoma" w:cs="Tahoma"/>
      <w:sz w:val="16"/>
      <w:szCs w:val="16"/>
      <w:lang w:val="en-GB"/>
    </w:rPr>
  </w:style>
  <w:style w:type="table" w:styleId="TableGrid">
    <w:name w:val="Table Grid"/>
    <w:basedOn w:val="TableNormal"/>
    <w:uiPriority w:val="59"/>
    <w:rsid w:val="008758D6"/>
    <w:pPr>
      <w:spacing w:after="0" w:line="240" w:lineRule="auto"/>
    </w:pPr>
    <w:rPr>
      <w:rFonts w:ascii="Calibri" w:eastAsia="Calibri"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DC7C39"/>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nhideWhenUsed/>
    <w:rsid w:val="00C8470D"/>
    <w:rPr>
      <w:sz w:val="16"/>
      <w:szCs w:val="16"/>
    </w:rPr>
  </w:style>
  <w:style w:type="paragraph" w:styleId="CommentText">
    <w:name w:val="annotation text"/>
    <w:basedOn w:val="Normal"/>
    <w:link w:val="CommentTextChar"/>
    <w:uiPriority w:val="99"/>
    <w:semiHidden/>
    <w:unhideWhenUsed/>
    <w:rsid w:val="00C8470D"/>
    <w:rPr>
      <w:sz w:val="20"/>
      <w:szCs w:val="20"/>
    </w:rPr>
  </w:style>
  <w:style w:type="character" w:customStyle="1" w:styleId="CommentTextChar">
    <w:name w:val="Comment Text Char"/>
    <w:basedOn w:val="DefaultParagraphFont"/>
    <w:link w:val="CommentText"/>
    <w:uiPriority w:val="99"/>
    <w:semiHidden/>
    <w:rsid w:val="00C8470D"/>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C8470D"/>
    <w:rPr>
      <w:b/>
      <w:bCs/>
    </w:rPr>
  </w:style>
  <w:style w:type="character" w:customStyle="1" w:styleId="CommentSubjectChar">
    <w:name w:val="Comment Subject Char"/>
    <w:basedOn w:val="CommentTextChar"/>
    <w:link w:val="CommentSubject"/>
    <w:uiPriority w:val="99"/>
    <w:semiHidden/>
    <w:rsid w:val="00C8470D"/>
    <w:rPr>
      <w:rFonts w:cstheme="minorBidi"/>
      <w:b/>
      <w:bCs/>
      <w:sz w:val="20"/>
      <w:szCs w:val="20"/>
      <w:lang w:val="en-GB"/>
    </w:rPr>
  </w:style>
  <w:style w:type="character" w:styleId="FootnoteReference">
    <w:name w:val="footnote reference"/>
    <w:basedOn w:val="DefaultParagraphFont"/>
    <w:uiPriority w:val="99"/>
    <w:semiHidden/>
    <w:unhideWhenUsed/>
    <w:rsid w:val="00DF3EE0"/>
    <w:rPr>
      <w:vertAlign w:val="superscript"/>
    </w:rPr>
  </w:style>
  <w:style w:type="character" w:styleId="Hyperlink">
    <w:name w:val="Hyperlink"/>
    <w:basedOn w:val="DefaultParagraphFont"/>
    <w:uiPriority w:val="99"/>
    <w:unhideWhenUsed/>
    <w:rsid w:val="00DF3EE0"/>
    <w:rPr>
      <w:color w:val="0000FF" w:themeColor="hyperlink"/>
      <w:u w:val="single"/>
    </w:rPr>
  </w:style>
  <w:style w:type="character" w:styleId="FollowedHyperlink">
    <w:name w:val="FollowedHyperlink"/>
    <w:basedOn w:val="DefaultParagraphFont"/>
    <w:uiPriority w:val="99"/>
    <w:semiHidden/>
    <w:unhideWhenUsed/>
    <w:rsid w:val="00F16028"/>
    <w:rPr>
      <w:color w:val="800080" w:themeColor="followedHyperlink"/>
      <w:u w:val="single"/>
    </w:rPr>
  </w:style>
  <w:style w:type="paragraph" w:styleId="Revision">
    <w:name w:val="Revision"/>
    <w:hidden/>
    <w:uiPriority w:val="99"/>
    <w:semiHidden/>
    <w:rsid w:val="005335B7"/>
    <w:pPr>
      <w:spacing w:after="0" w:line="240" w:lineRule="auto"/>
    </w:pPr>
    <w:rPr>
      <w:rFonts w:cstheme="minorBidi"/>
      <w:lang w:val="en-GB"/>
    </w:rPr>
  </w:style>
  <w:style w:type="paragraph" w:customStyle="1" w:styleId="FSTitle">
    <w:name w:val="FS Title"/>
    <w:basedOn w:val="Normal"/>
    <w:qFormat/>
    <w:rsid w:val="009D0DEC"/>
    <w:pPr>
      <w:widowControl w:val="0"/>
    </w:pPr>
    <w:rPr>
      <w:rFonts w:eastAsia="Times New Roman" w:cs="Tahoma"/>
      <w:bCs/>
      <w:sz w:val="32"/>
      <w:szCs w:val="24"/>
      <w:lang w:bidi="en-US"/>
    </w:rPr>
  </w:style>
  <w:style w:type="paragraph" w:customStyle="1" w:styleId="Default">
    <w:name w:val="Default"/>
    <w:rsid w:val="00BA2BAF"/>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FS Normal"/>
    <w:qFormat/>
    <w:rsid w:val="00F76F95"/>
    <w:pPr>
      <w:spacing w:after="0" w:line="240" w:lineRule="auto"/>
    </w:pPr>
    <w:rPr>
      <w:rFonts w:cstheme="minorBidi"/>
      <w:lang w:val="en-GB"/>
    </w:rPr>
  </w:style>
  <w:style w:type="paragraph" w:styleId="Heading1">
    <w:name w:val="heading 1"/>
    <w:aliases w:val="FSHeading 1,Chapter heading"/>
    <w:basedOn w:val="Normal"/>
    <w:next w:val="Normal"/>
    <w:link w:val="Heading1Char"/>
    <w:uiPriority w:val="9"/>
    <w:qFormat/>
    <w:rsid w:val="00F76F95"/>
    <w:pPr>
      <w:keepNext/>
      <w:widowControl w:val="0"/>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9"/>
    <w:unhideWhenUsed/>
    <w:qFormat/>
    <w:rsid w:val="00BD0DA8"/>
    <w:pPr>
      <w:keepNext/>
      <w:widowControl w:val="0"/>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9"/>
    <w:unhideWhenUsed/>
    <w:qFormat/>
    <w:rsid w:val="00F76F95"/>
    <w:pPr>
      <w:keepNext/>
      <w:widowControl w:val="0"/>
      <w:spacing w:before="240" w:after="240"/>
      <w:ind w:left="851" w:hanging="851"/>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9"/>
    <w:unhideWhenUsed/>
    <w:qFormat/>
    <w:rsid w:val="00F76F95"/>
    <w:pPr>
      <w:keepNext/>
      <w:widowControl w:val="0"/>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9"/>
    <w:unhideWhenUsed/>
    <w:qFormat/>
    <w:rsid w:val="00F76F95"/>
    <w:pPr>
      <w:keepNext/>
      <w:widowControl w:val="0"/>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9"/>
    <w:rsid w:val="00F76F95"/>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9"/>
    <w:rsid w:val="00BD0DA8"/>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9"/>
    <w:rsid w:val="00F76F95"/>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9"/>
    <w:rsid w:val="00F76F95"/>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9"/>
    <w:rsid w:val="00F76F95"/>
    <w:rPr>
      <w:rFonts w:eastAsiaTheme="majorEastAsia" w:cstheme="majorBidi"/>
      <w:i/>
      <w:lang w:val="en-GB"/>
    </w:rPr>
  </w:style>
  <w:style w:type="character" w:customStyle="1" w:styleId="Heading6Char">
    <w:name w:val="Heading 6 Char"/>
    <w:basedOn w:val="DefaultParagraphFont"/>
    <w:link w:val="Heading6"/>
    <w:uiPriority w:val="9"/>
    <w:semiHidden/>
    <w:rsid w:val="008931F6"/>
    <w:rPr>
      <w:rFonts w:asciiTheme="majorHAnsi" w:eastAsiaTheme="majorEastAsia" w:hAnsiTheme="majorHAnsi" w:cstheme="majorBidi"/>
      <w:i/>
      <w:iCs/>
      <w:color w:val="243F60" w:themeColor="accent1" w:themeShade="7F"/>
      <w:lang w:val="en-GB"/>
    </w:rPr>
  </w:style>
  <w:style w:type="paragraph" w:styleId="Title">
    <w:name w:val="Title"/>
    <w:basedOn w:val="Normal"/>
    <w:next w:val="Normal"/>
    <w:link w:val="TitleChar"/>
    <w:uiPriority w:val="10"/>
    <w:qFormat/>
    <w:rsid w:val="008931F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1F6"/>
    <w:rPr>
      <w:rFonts w:eastAsiaTheme="majorEastAsia"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8931F6"/>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31F6"/>
    <w:rPr>
      <w:rFonts w:eastAsiaTheme="majorEastAsia" w:cstheme="majorBidi"/>
      <w:i/>
      <w:iCs/>
      <w:color w:val="4F81BD" w:themeColor="accent1"/>
      <w:spacing w:val="15"/>
      <w:sz w:val="24"/>
      <w:szCs w:val="24"/>
      <w:lang w:val="en-GB"/>
    </w:rPr>
  </w:style>
  <w:style w:type="character" w:styleId="Emphasis">
    <w:name w:val="Emphasis"/>
    <w:basedOn w:val="DefaultParagraphFont"/>
    <w:uiPriority w:val="20"/>
    <w:qFormat/>
    <w:rsid w:val="008931F6"/>
    <w:rPr>
      <w:i/>
      <w:iCs/>
    </w:rPr>
  </w:style>
  <w:style w:type="paragraph" w:styleId="ListParagraph">
    <w:name w:val="List Paragraph"/>
    <w:basedOn w:val="Normal"/>
    <w:uiPriority w:val="34"/>
    <w:qFormat/>
    <w:rsid w:val="008931F6"/>
    <w:pPr>
      <w:ind w:left="720"/>
      <w:contextualSpacing/>
    </w:pPr>
  </w:style>
  <w:style w:type="paragraph" w:styleId="Quote">
    <w:name w:val="Quote"/>
    <w:basedOn w:val="Normal"/>
    <w:next w:val="Normal"/>
    <w:link w:val="QuoteChar"/>
    <w:uiPriority w:val="29"/>
    <w:qFormat/>
    <w:rsid w:val="008931F6"/>
    <w:rPr>
      <w:i/>
      <w:iCs/>
      <w:color w:val="000000" w:themeColor="text1"/>
    </w:rPr>
  </w:style>
  <w:style w:type="character" w:customStyle="1" w:styleId="QuoteChar">
    <w:name w:val="Quote Char"/>
    <w:basedOn w:val="DefaultParagraphFont"/>
    <w:link w:val="Quote"/>
    <w:uiPriority w:val="29"/>
    <w:rsid w:val="008931F6"/>
    <w:rPr>
      <w:rFonts w:cs="Arial"/>
      <w:i/>
      <w:iCs/>
      <w:color w:val="000000" w:themeColor="text1"/>
      <w:lang w:val="en-GB"/>
    </w:rPr>
  </w:style>
  <w:style w:type="character" w:styleId="SubtleEmphasis">
    <w:name w:val="Subtle Emphasis"/>
    <w:basedOn w:val="DefaultParagraphFont"/>
    <w:uiPriority w:val="19"/>
    <w:qFormat/>
    <w:rsid w:val="008931F6"/>
    <w:rPr>
      <w:i/>
      <w:iCs/>
      <w:color w:val="808080" w:themeColor="text1" w:themeTint="7F"/>
    </w:rPr>
  </w:style>
  <w:style w:type="paragraph" w:styleId="TOCHeading">
    <w:name w:val="TOC Heading"/>
    <w:basedOn w:val="Heading1"/>
    <w:next w:val="Normal"/>
    <w:uiPriority w:val="39"/>
    <w:semiHidden/>
    <w:unhideWhenUsed/>
    <w:qFormat/>
    <w:rsid w:val="008931F6"/>
    <w:pPr>
      <w:outlineLvl w:val="9"/>
    </w:pPr>
    <w:rPr>
      <w:rFonts w:asciiTheme="majorHAnsi" w:hAnsiTheme="majorHAnsi"/>
    </w:rPr>
  </w:style>
  <w:style w:type="paragraph" w:customStyle="1" w:styleId="Table2">
    <w:name w:val="Table 2"/>
    <w:basedOn w:val="Normal"/>
    <w:rsid w:val="00F76F95"/>
    <w:pPr>
      <w:widowControl w:val="0"/>
      <w:ind w:left="142" w:hanging="142"/>
    </w:pPr>
    <w:rPr>
      <w:rFonts w:eastAsia="Times New Roman" w:cs="Times New Roman"/>
      <w:bCs/>
      <w:sz w:val="18"/>
      <w:szCs w:val="20"/>
    </w:rPr>
  </w:style>
  <w:style w:type="paragraph" w:customStyle="1" w:styleId="131ItemHeading">
    <w:name w:val="1.3.1 Item Heading"/>
    <w:basedOn w:val="Table2"/>
    <w:next w:val="Table2"/>
    <w:rsid w:val="00F76F95"/>
    <w:pPr>
      <w:keepNext/>
      <w:widowControl/>
      <w:tabs>
        <w:tab w:val="left" w:pos="851"/>
      </w:tabs>
      <w:spacing w:after="200"/>
      <w:ind w:left="0" w:firstLine="0"/>
    </w:pPr>
    <w:rPr>
      <w:b/>
      <w:bCs w:val="0"/>
      <w:caps/>
      <w:sz w:val="20"/>
    </w:rPr>
  </w:style>
  <w:style w:type="paragraph" w:customStyle="1" w:styleId="131Subitemheading">
    <w:name w:val="1.3.1 Subitem heading"/>
    <w:basedOn w:val="131ItemHeading"/>
    <w:next w:val="Table2"/>
    <w:rsid w:val="00F76F95"/>
    <w:pPr>
      <w:spacing w:after="120"/>
    </w:pPr>
    <w:rPr>
      <w:caps w:val="0"/>
      <w:sz w:val="18"/>
    </w:rPr>
  </w:style>
  <w:style w:type="paragraph" w:customStyle="1" w:styleId="142Tableheading1">
    <w:name w:val="1.4.2 Table heading1"/>
    <w:basedOn w:val="Normal"/>
    <w:rsid w:val="00F76F95"/>
    <w:pPr>
      <w:keepNext/>
      <w:widowControl w:val="0"/>
      <w:jc w:val="center"/>
    </w:pPr>
    <w:rPr>
      <w:rFonts w:ascii="Arial Bold" w:hAnsi="Arial Bold"/>
      <w:b/>
      <w:bCs/>
      <w:iCs/>
      <w:sz w:val="18"/>
    </w:rPr>
  </w:style>
  <w:style w:type="paragraph" w:customStyle="1" w:styleId="142Tableheading2">
    <w:name w:val="1.4.2 Table heading2"/>
    <w:basedOn w:val="142Tableheading1"/>
    <w:rsid w:val="00F76F95"/>
    <w:rPr>
      <w:rFonts w:ascii="Arial" w:eastAsia="Times New Roman" w:hAnsi="Arial" w:cs="Times New Roman"/>
      <w:b w:val="0"/>
      <w:iCs w:val="0"/>
      <w:szCs w:val="20"/>
    </w:rPr>
  </w:style>
  <w:style w:type="paragraph" w:customStyle="1" w:styleId="142Tabletext1">
    <w:name w:val="1.4.2 Table text1"/>
    <w:basedOn w:val="Normal"/>
    <w:link w:val="142Tabletext1Char"/>
    <w:rsid w:val="00F76F95"/>
    <w:pPr>
      <w:widowControl w:val="0"/>
      <w:ind w:left="142" w:hanging="142"/>
    </w:pPr>
    <w:rPr>
      <w:rFonts w:eastAsia="Times New Roman" w:cs="Times New Roman"/>
      <w:sz w:val="18"/>
      <w:szCs w:val="20"/>
    </w:rPr>
  </w:style>
  <w:style w:type="character" w:customStyle="1" w:styleId="142Tabletext1Char">
    <w:name w:val="1.4.2 Table text1 Char"/>
    <w:basedOn w:val="DefaultParagraphFont"/>
    <w:link w:val="142Tabletext1"/>
    <w:rsid w:val="00F76F95"/>
    <w:rPr>
      <w:rFonts w:eastAsia="Times New Roman" w:cs="Times New Roman"/>
      <w:sz w:val="18"/>
      <w:szCs w:val="20"/>
      <w:lang w:val="en-GB"/>
    </w:rPr>
  </w:style>
  <w:style w:type="paragraph" w:customStyle="1" w:styleId="142Tabletext2">
    <w:name w:val="1.4.2 Table text2"/>
    <w:basedOn w:val="142Tabletext1"/>
    <w:rsid w:val="00F76F95"/>
    <w:pPr>
      <w:jc w:val="right"/>
    </w:pPr>
  </w:style>
  <w:style w:type="paragraph" w:customStyle="1" w:styleId="Blankpage">
    <w:name w:val="Blank page"/>
    <w:basedOn w:val="Normal"/>
    <w:next w:val="Normal"/>
    <w:rsid w:val="00F76F95"/>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rsid w:val="00F76F95"/>
    <w:pPr>
      <w:widowControl w:val="0"/>
      <w:tabs>
        <w:tab w:val="left" w:pos="851"/>
      </w:tabs>
    </w:pPr>
    <w:rPr>
      <w:rFonts w:eastAsia="Times New Roman" w:cs="Times New Roman"/>
      <w:sz w:val="20"/>
      <w:szCs w:val="20"/>
    </w:rPr>
  </w:style>
  <w:style w:type="character" w:customStyle="1" w:styleId="ClauseChar">
    <w:name w:val="Clause Char"/>
    <w:basedOn w:val="DefaultParagraphFont"/>
    <w:link w:val="Clause"/>
    <w:rsid w:val="00F76F95"/>
    <w:rPr>
      <w:rFonts w:eastAsia="Times New Roman" w:cs="Times New Roman"/>
      <w:sz w:val="20"/>
      <w:szCs w:val="20"/>
      <w:lang w:val="en-GB"/>
    </w:rPr>
  </w:style>
  <w:style w:type="paragraph" w:customStyle="1" w:styleId="Clauseheading">
    <w:name w:val="Clause heading"/>
    <w:basedOn w:val="Normal"/>
    <w:next w:val="Normal"/>
    <w:rsid w:val="00F76F95"/>
    <w:pPr>
      <w:keepNext/>
      <w:widowControl w:val="0"/>
      <w:tabs>
        <w:tab w:val="left" w:pos="851"/>
      </w:tabs>
    </w:pPr>
    <w:rPr>
      <w:rFonts w:eastAsia="Times New Roman" w:cs="Times New Roman"/>
      <w:b/>
      <w:sz w:val="20"/>
      <w:szCs w:val="20"/>
    </w:rPr>
  </w:style>
  <w:style w:type="paragraph" w:customStyle="1" w:styleId="ClauseList">
    <w:name w:val="Clause List"/>
    <w:basedOn w:val="Clause"/>
    <w:next w:val="Normal"/>
    <w:rsid w:val="00F76F95"/>
    <w:pPr>
      <w:tabs>
        <w:tab w:val="clear" w:pos="851"/>
      </w:tabs>
      <w:ind w:left="851" w:hanging="851"/>
    </w:pPr>
  </w:style>
  <w:style w:type="paragraph" w:customStyle="1" w:styleId="Definition">
    <w:name w:val="Definition"/>
    <w:basedOn w:val="Normal"/>
    <w:next w:val="Normal"/>
    <w:uiPriority w:val="15"/>
    <w:qFormat/>
    <w:rsid w:val="00F76F95"/>
    <w:pPr>
      <w:widowControl w:val="0"/>
      <w:ind w:left="1701" w:hanging="851"/>
    </w:pPr>
    <w:rPr>
      <w:rFonts w:eastAsia="Times New Roman" w:cs="Times New Roman"/>
      <w:sz w:val="20"/>
      <w:szCs w:val="20"/>
    </w:rPr>
  </w:style>
  <w:style w:type="paragraph" w:customStyle="1" w:styleId="DivisionHeading">
    <w:name w:val="Division Heading"/>
    <w:basedOn w:val="Normal"/>
    <w:next w:val="Normal"/>
    <w:rsid w:val="00F76F95"/>
    <w:pPr>
      <w:keepNext/>
      <w:widowControl w:val="0"/>
      <w:tabs>
        <w:tab w:val="left" w:pos="851"/>
      </w:tabs>
      <w:jc w:val="center"/>
    </w:pPr>
    <w:rPr>
      <w:rFonts w:ascii="Arial Bold" w:eastAsia="Times New Roman" w:hAnsi="Arial Bold" w:cs="Times New Roman"/>
      <w:b/>
      <w:sz w:val="26"/>
      <w:szCs w:val="20"/>
    </w:rPr>
  </w:style>
  <w:style w:type="paragraph" w:customStyle="1" w:styleId="EditorialNoteLine1">
    <w:name w:val="Editorial Note Line 1"/>
    <w:basedOn w:val="Normal"/>
    <w:next w:val="Normal"/>
    <w:uiPriority w:val="16"/>
    <w:qFormat/>
    <w:rsid w:val="00F76F95"/>
    <w:pPr>
      <w:keepNext/>
      <w:widowControl w:val="0"/>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F76F95"/>
    <w:rPr>
      <w:b w:val="0"/>
    </w:rPr>
  </w:style>
  <w:style w:type="paragraph" w:styleId="Footer">
    <w:name w:val="footer"/>
    <w:aliases w:val="FSFooter"/>
    <w:basedOn w:val="Normal"/>
    <w:link w:val="FooterChar"/>
    <w:uiPriority w:val="99"/>
    <w:unhideWhenUsed/>
    <w:rsid w:val="00F76F95"/>
    <w:rPr>
      <w:sz w:val="20"/>
    </w:rPr>
  </w:style>
  <w:style w:type="character" w:customStyle="1" w:styleId="FooterChar">
    <w:name w:val="Footer Char"/>
    <w:aliases w:val="FSFooter Char"/>
    <w:basedOn w:val="DefaultParagraphFont"/>
    <w:link w:val="Footer"/>
    <w:uiPriority w:val="99"/>
    <w:rsid w:val="00F76F95"/>
    <w:rPr>
      <w:rFonts w:cstheme="minorBidi"/>
      <w:sz w:val="20"/>
      <w:lang w:val="en-GB"/>
    </w:rPr>
  </w:style>
  <w:style w:type="paragraph" w:customStyle="1" w:styleId="Footnote">
    <w:name w:val="Footnote"/>
    <w:basedOn w:val="Normal"/>
    <w:rsid w:val="00F76F95"/>
    <w:pPr>
      <w:widowControl w:val="0"/>
      <w:tabs>
        <w:tab w:val="left" w:pos="851"/>
      </w:tabs>
    </w:pPr>
    <w:rPr>
      <w:rFonts w:eastAsia="Times New Roman" w:cs="Times New Roman"/>
      <w:sz w:val="20"/>
      <w:szCs w:val="20"/>
    </w:rPr>
  </w:style>
  <w:style w:type="paragraph" w:styleId="FootnoteText">
    <w:name w:val="footnote text"/>
    <w:aliases w:val="FSFootnote Text,Footnotes Text,FSFootnotes Text"/>
    <w:basedOn w:val="Normal"/>
    <w:link w:val="FootnoteTextChar"/>
    <w:uiPriority w:val="99"/>
    <w:unhideWhenUsed/>
    <w:qFormat/>
    <w:rsid w:val="00F76F95"/>
    <w:pPr>
      <w:ind w:left="425" w:hanging="425"/>
    </w:pPr>
    <w:rPr>
      <w:sz w:val="18"/>
      <w:szCs w:val="20"/>
    </w:rPr>
  </w:style>
  <w:style w:type="character" w:customStyle="1" w:styleId="FootnoteTextChar">
    <w:name w:val="Footnote Text Char"/>
    <w:aliases w:val="FSFootnote Text Char,Footnotes Text Char,FSFootnotes Text Char"/>
    <w:basedOn w:val="DefaultParagraphFont"/>
    <w:link w:val="FootnoteText"/>
    <w:uiPriority w:val="99"/>
    <w:rsid w:val="00F76F95"/>
    <w:rPr>
      <w:rFonts w:cstheme="minorBidi"/>
      <w:sz w:val="18"/>
      <w:szCs w:val="20"/>
      <w:lang w:val="en-GB"/>
    </w:rPr>
  </w:style>
  <w:style w:type="paragraph" w:customStyle="1" w:styleId="FSBullet1">
    <w:name w:val="FSBullet 1"/>
    <w:basedOn w:val="Normal"/>
    <w:next w:val="Normal"/>
    <w:link w:val="FSBullet1Char"/>
    <w:qFormat/>
    <w:rsid w:val="00DE67D3"/>
    <w:pPr>
      <w:numPr>
        <w:numId w:val="8"/>
      </w:numPr>
      <w:ind w:left="567" w:hanging="567"/>
    </w:pPr>
    <w:rPr>
      <w:rFonts w:eastAsia="Times New Roman" w:cs="Arial"/>
      <w:szCs w:val="24"/>
    </w:rPr>
  </w:style>
  <w:style w:type="character" w:customStyle="1" w:styleId="FSBullet1Char">
    <w:name w:val="FSBullet 1 Char"/>
    <w:basedOn w:val="DefaultParagraphFont"/>
    <w:link w:val="FSBullet1"/>
    <w:rsid w:val="00DE67D3"/>
    <w:rPr>
      <w:rFonts w:eastAsia="Times New Roman"/>
      <w:szCs w:val="24"/>
      <w:lang w:val="en-GB"/>
    </w:rPr>
  </w:style>
  <w:style w:type="paragraph" w:customStyle="1" w:styleId="FSBullet2">
    <w:name w:val="FSBullet 2"/>
    <w:basedOn w:val="Normal"/>
    <w:qFormat/>
    <w:rsid w:val="00DE67D3"/>
    <w:pPr>
      <w:numPr>
        <w:numId w:val="9"/>
      </w:numPr>
      <w:ind w:left="1134" w:hanging="567"/>
    </w:pPr>
  </w:style>
  <w:style w:type="paragraph" w:customStyle="1" w:styleId="FSBullet3">
    <w:name w:val="FSBullet 3"/>
    <w:basedOn w:val="Normal"/>
    <w:qFormat/>
    <w:rsid w:val="00DE67D3"/>
    <w:pPr>
      <w:keepNext/>
      <w:numPr>
        <w:numId w:val="10"/>
      </w:numPr>
      <w:ind w:left="1701" w:hanging="567"/>
    </w:pPr>
  </w:style>
  <w:style w:type="paragraph" w:customStyle="1" w:styleId="FSCaption">
    <w:name w:val="FSCaption"/>
    <w:basedOn w:val="Normal"/>
    <w:qFormat/>
    <w:rsid w:val="00F76F95"/>
    <w:pPr>
      <w:keepNext/>
      <w:keepLines/>
      <w:spacing w:before="120"/>
    </w:pPr>
    <w:rPr>
      <w:i/>
      <w:sz w:val="16"/>
      <w:szCs w:val="16"/>
    </w:rPr>
  </w:style>
  <w:style w:type="paragraph" w:customStyle="1" w:styleId="FSCfooter">
    <w:name w:val="FSCfooter"/>
    <w:basedOn w:val="Normal"/>
    <w:qFormat/>
    <w:rsid w:val="00F76F95"/>
    <w:pPr>
      <w:tabs>
        <w:tab w:val="center" w:pos="4536"/>
        <w:tab w:val="right" w:pos="9072"/>
      </w:tabs>
    </w:pPr>
    <w:rPr>
      <w:rFonts w:eastAsia="Times New Roman" w:cs="Times New Roman"/>
      <w:sz w:val="18"/>
      <w:szCs w:val="20"/>
    </w:rPr>
  </w:style>
  <w:style w:type="paragraph" w:customStyle="1" w:styleId="FSCFooter0">
    <w:name w:val="FSCFooter"/>
    <w:basedOn w:val="Footnote"/>
    <w:qFormat/>
    <w:rsid w:val="00F76F95"/>
    <w:pPr>
      <w:tabs>
        <w:tab w:val="clear" w:pos="851"/>
        <w:tab w:val="center" w:pos="4536"/>
        <w:tab w:val="right" w:pos="9070"/>
      </w:tabs>
    </w:pPr>
    <w:rPr>
      <w:sz w:val="18"/>
      <w:szCs w:val="18"/>
    </w:rPr>
  </w:style>
  <w:style w:type="paragraph" w:customStyle="1" w:styleId="FSPagenumber">
    <w:name w:val="FSPage number"/>
    <w:basedOn w:val="Normal"/>
    <w:qFormat/>
    <w:rsid w:val="00F76F95"/>
    <w:pPr>
      <w:jc w:val="right"/>
    </w:pPr>
    <w:rPr>
      <w:sz w:val="20"/>
      <w:szCs w:val="20"/>
    </w:rPr>
  </w:style>
  <w:style w:type="paragraph" w:customStyle="1" w:styleId="FSTableColumnRowheading">
    <w:name w:val="FSTable Column/Row heading"/>
    <w:basedOn w:val="Normal"/>
    <w:qFormat/>
    <w:rsid w:val="00F76F95"/>
    <w:pPr>
      <w:spacing w:before="120" w:after="120"/>
    </w:pPr>
    <w:rPr>
      <w:b/>
      <w:sz w:val="20"/>
      <w:szCs w:val="20"/>
    </w:rPr>
  </w:style>
  <w:style w:type="paragraph" w:customStyle="1" w:styleId="FSTableFigureHeading">
    <w:name w:val="FSTable/Figure Heading"/>
    <w:basedOn w:val="Normal"/>
    <w:qFormat/>
    <w:rsid w:val="00F76F95"/>
    <w:pPr>
      <w:spacing w:before="120" w:after="120"/>
      <w:ind w:left="1134" w:hanging="1134"/>
    </w:pPr>
    <w:rPr>
      <w:b/>
      <w:i/>
    </w:rPr>
  </w:style>
  <w:style w:type="paragraph" w:styleId="Header">
    <w:name w:val="header"/>
    <w:aliases w:val="FSHeader"/>
    <w:basedOn w:val="Normal"/>
    <w:link w:val="HeaderChar"/>
    <w:unhideWhenUsed/>
    <w:qFormat/>
    <w:rsid w:val="00F76F95"/>
    <w:pPr>
      <w:jc w:val="center"/>
    </w:pPr>
    <w:rPr>
      <w:rFonts w:ascii="Arial Bold" w:hAnsi="Arial Bold"/>
      <w:b/>
      <w:caps/>
    </w:rPr>
  </w:style>
  <w:style w:type="character" w:customStyle="1" w:styleId="HeaderChar">
    <w:name w:val="Header Char"/>
    <w:aliases w:val="FSHeader Char"/>
    <w:basedOn w:val="DefaultParagraphFont"/>
    <w:link w:val="Header"/>
    <w:rsid w:val="00F76F95"/>
    <w:rPr>
      <w:rFonts w:ascii="Arial Bold" w:hAnsi="Arial Bold" w:cstheme="minorBidi"/>
      <w:b/>
      <w:caps/>
      <w:lang w:val="en-GB"/>
    </w:rPr>
  </w:style>
  <w:style w:type="paragraph" w:customStyle="1" w:styleId="MiscellaneousHeading">
    <w:name w:val="Miscellaneous Heading"/>
    <w:basedOn w:val="Normal"/>
    <w:rsid w:val="00F76F95"/>
    <w:pPr>
      <w:keepNext/>
      <w:widowControl w:val="0"/>
      <w:tabs>
        <w:tab w:val="left" w:pos="851"/>
      </w:tabs>
    </w:pPr>
    <w:rPr>
      <w:b/>
    </w:rPr>
  </w:style>
  <w:style w:type="paragraph" w:customStyle="1" w:styleId="Paragraph">
    <w:name w:val="Paragraph"/>
    <w:basedOn w:val="Clause"/>
    <w:next w:val="Normal"/>
    <w:rsid w:val="00F76F95"/>
    <w:pPr>
      <w:tabs>
        <w:tab w:val="clear" w:pos="851"/>
      </w:tabs>
      <w:ind w:left="1702" w:hanging="851"/>
    </w:pPr>
  </w:style>
  <w:style w:type="paragraph" w:customStyle="1" w:styleId="PartContents">
    <w:name w:val="Part Contents"/>
    <w:basedOn w:val="Normal"/>
    <w:rsid w:val="00F76F95"/>
    <w:pPr>
      <w:spacing w:line="240" w:lineRule="atLeast"/>
      <w:ind w:left="1120" w:hanging="560"/>
    </w:pPr>
    <w:rPr>
      <w:rFonts w:eastAsia="Times New Roman" w:cs="Times New Roman"/>
      <w:szCs w:val="20"/>
    </w:rPr>
  </w:style>
  <w:style w:type="paragraph" w:customStyle="1" w:styleId="PartHeading">
    <w:name w:val="Part Heading"/>
    <w:basedOn w:val="Normal"/>
    <w:rsid w:val="00F76F95"/>
    <w:pPr>
      <w:tabs>
        <w:tab w:val="left" w:pos="851"/>
      </w:tabs>
      <w:jc w:val="center"/>
    </w:pPr>
    <w:rPr>
      <w:rFonts w:eastAsia="Times New Roman" w:cs="Times New Roman"/>
      <w:b/>
      <w:i/>
      <w:sz w:val="36"/>
      <w:szCs w:val="20"/>
    </w:rPr>
  </w:style>
  <w:style w:type="paragraph" w:customStyle="1" w:styleId="ScheduleHeading">
    <w:name w:val="Schedule Heading"/>
    <w:basedOn w:val="Normal"/>
    <w:next w:val="Normal"/>
    <w:rsid w:val="00F76F95"/>
    <w:pPr>
      <w:widowControl w:val="0"/>
      <w:tabs>
        <w:tab w:val="left" w:pos="851"/>
      </w:tabs>
      <w:jc w:val="center"/>
    </w:pPr>
    <w:rPr>
      <w:rFonts w:eastAsia="Times New Roman" w:cs="Times New Roman"/>
      <w:b/>
      <w:caps/>
      <w:sz w:val="20"/>
      <w:szCs w:val="20"/>
    </w:rPr>
  </w:style>
  <w:style w:type="paragraph" w:customStyle="1" w:styleId="Standardtitle">
    <w:name w:val="Standard title"/>
    <w:basedOn w:val="Normal"/>
    <w:rsid w:val="00F76F95"/>
    <w:pPr>
      <w:keepNext/>
      <w:widowControl w:val="0"/>
      <w:tabs>
        <w:tab w:val="left" w:pos="851"/>
      </w:tabs>
      <w:jc w:val="center"/>
    </w:pPr>
    <w:rPr>
      <w:rFonts w:eastAsia="Times New Roman" w:cs="Times New Roman"/>
      <w:b/>
      <w:i/>
      <w:iCs/>
      <w:caps/>
      <w:sz w:val="28"/>
      <w:szCs w:val="20"/>
    </w:rPr>
  </w:style>
  <w:style w:type="paragraph" w:customStyle="1" w:styleId="Subclause">
    <w:name w:val="Subclause"/>
    <w:basedOn w:val="Clause"/>
    <w:rsid w:val="00F76F95"/>
  </w:style>
  <w:style w:type="paragraph" w:customStyle="1" w:styleId="Subparagraph">
    <w:name w:val="Subparagraph"/>
    <w:basedOn w:val="Paragraph"/>
    <w:next w:val="Normal"/>
    <w:uiPriority w:val="13"/>
    <w:qFormat/>
    <w:rsid w:val="00F76F95"/>
    <w:pPr>
      <w:ind w:left="2553"/>
    </w:pPr>
  </w:style>
  <w:style w:type="paragraph" w:customStyle="1" w:styleId="Table1">
    <w:name w:val="Table 1"/>
    <w:basedOn w:val="Normal"/>
    <w:rsid w:val="00F76F95"/>
    <w:pPr>
      <w:keepNext/>
      <w:widowControl w:val="0"/>
      <w:spacing w:after="120"/>
      <w:jc w:val="center"/>
    </w:pPr>
    <w:rPr>
      <w:rFonts w:eastAsia="Times New Roman" w:cs="Times New Roman"/>
      <w:b/>
      <w:bCs/>
      <w:sz w:val="18"/>
      <w:szCs w:val="20"/>
    </w:rPr>
  </w:style>
  <w:style w:type="paragraph" w:customStyle="1" w:styleId="TitleBorder">
    <w:name w:val="TitleBorder"/>
    <w:basedOn w:val="Normal"/>
    <w:rsid w:val="00F76F95"/>
    <w:pPr>
      <w:widowControl w:val="0"/>
      <w:pBdr>
        <w:bottom w:val="double" w:sz="6" w:space="0" w:color="auto"/>
      </w:pBdr>
      <w:tabs>
        <w:tab w:val="left" w:pos="851"/>
      </w:tabs>
    </w:pPr>
    <w:rPr>
      <w:rFonts w:eastAsia="Times New Roman" w:cs="Times New Roman"/>
      <w:sz w:val="20"/>
      <w:szCs w:val="20"/>
    </w:rPr>
  </w:style>
  <w:style w:type="paragraph" w:styleId="BalloonText">
    <w:name w:val="Balloon Text"/>
    <w:basedOn w:val="Normal"/>
    <w:link w:val="BalloonTextChar"/>
    <w:uiPriority w:val="99"/>
    <w:semiHidden/>
    <w:unhideWhenUsed/>
    <w:rsid w:val="007F7131"/>
    <w:rPr>
      <w:rFonts w:ascii="Tahoma" w:hAnsi="Tahoma" w:cs="Tahoma"/>
      <w:sz w:val="16"/>
      <w:szCs w:val="16"/>
    </w:rPr>
  </w:style>
  <w:style w:type="character" w:customStyle="1" w:styleId="BalloonTextChar">
    <w:name w:val="Balloon Text Char"/>
    <w:basedOn w:val="DefaultParagraphFont"/>
    <w:link w:val="BalloonText"/>
    <w:uiPriority w:val="99"/>
    <w:semiHidden/>
    <w:rsid w:val="007F7131"/>
    <w:rPr>
      <w:rFonts w:ascii="Tahoma" w:hAnsi="Tahoma" w:cs="Tahoma"/>
      <w:sz w:val="16"/>
      <w:szCs w:val="16"/>
      <w:lang w:val="en-GB"/>
    </w:rPr>
  </w:style>
  <w:style w:type="table" w:styleId="TableGrid">
    <w:name w:val="Table Grid"/>
    <w:basedOn w:val="TableNormal"/>
    <w:uiPriority w:val="59"/>
    <w:rsid w:val="008758D6"/>
    <w:pPr>
      <w:spacing w:after="0" w:line="240" w:lineRule="auto"/>
    </w:pPr>
    <w:rPr>
      <w:rFonts w:ascii="Calibri" w:eastAsia="Calibri" w:hAnsi="Calibr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DC7C39"/>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nhideWhenUsed/>
    <w:rsid w:val="00C8470D"/>
    <w:rPr>
      <w:sz w:val="16"/>
      <w:szCs w:val="16"/>
    </w:rPr>
  </w:style>
  <w:style w:type="paragraph" w:styleId="CommentText">
    <w:name w:val="annotation text"/>
    <w:basedOn w:val="Normal"/>
    <w:link w:val="CommentTextChar"/>
    <w:uiPriority w:val="99"/>
    <w:semiHidden/>
    <w:unhideWhenUsed/>
    <w:rsid w:val="00C8470D"/>
    <w:rPr>
      <w:sz w:val="20"/>
      <w:szCs w:val="20"/>
    </w:rPr>
  </w:style>
  <w:style w:type="character" w:customStyle="1" w:styleId="CommentTextChar">
    <w:name w:val="Comment Text Char"/>
    <w:basedOn w:val="DefaultParagraphFont"/>
    <w:link w:val="CommentText"/>
    <w:uiPriority w:val="99"/>
    <w:semiHidden/>
    <w:rsid w:val="00C8470D"/>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C8470D"/>
    <w:rPr>
      <w:b/>
      <w:bCs/>
    </w:rPr>
  </w:style>
  <w:style w:type="character" w:customStyle="1" w:styleId="CommentSubjectChar">
    <w:name w:val="Comment Subject Char"/>
    <w:basedOn w:val="CommentTextChar"/>
    <w:link w:val="CommentSubject"/>
    <w:uiPriority w:val="99"/>
    <w:semiHidden/>
    <w:rsid w:val="00C8470D"/>
    <w:rPr>
      <w:rFonts w:cstheme="minorBidi"/>
      <w:b/>
      <w:bCs/>
      <w:sz w:val="20"/>
      <w:szCs w:val="20"/>
      <w:lang w:val="en-GB"/>
    </w:rPr>
  </w:style>
  <w:style w:type="character" w:styleId="FootnoteReference">
    <w:name w:val="footnote reference"/>
    <w:basedOn w:val="DefaultParagraphFont"/>
    <w:uiPriority w:val="99"/>
    <w:semiHidden/>
    <w:unhideWhenUsed/>
    <w:rsid w:val="00DF3EE0"/>
    <w:rPr>
      <w:vertAlign w:val="superscript"/>
    </w:rPr>
  </w:style>
  <w:style w:type="character" w:styleId="Hyperlink">
    <w:name w:val="Hyperlink"/>
    <w:basedOn w:val="DefaultParagraphFont"/>
    <w:uiPriority w:val="99"/>
    <w:unhideWhenUsed/>
    <w:rsid w:val="00DF3EE0"/>
    <w:rPr>
      <w:color w:val="0000FF" w:themeColor="hyperlink"/>
      <w:u w:val="single"/>
    </w:rPr>
  </w:style>
  <w:style w:type="character" w:styleId="FollowedHyperlink">
    <w:name w:val="FollowedHyperlink"/>
    <w:basedOn w:val="DefaultParagraphFont"/>
    <w:uiPriority w:val="99"/>
    <w:semiHidden/>
    <w:unhideWhenUsed/>
    <w:rsid w:val="00F16028"/>
    <w:rPr>
      <w:color w:val="800080" w:themeColor="followedHyperlink"/>
      <w:u w:val="single"/>
    </w:rPr>
  </w:style>
  <w:style w:type="paragraph" w:styleId="Revision">
    <w:name w:val="Revision"/>
    <w:hidden/>
    <w:uiPriority w:val="99"/>
    <w:semiHidden/>
    <w:rsid w:val="005335B7"/>
    <w:pPr>
      <w:spacing w:after="0" w:line="240" w:lineRule="auto"/>
    </w:pPr>
    <w:rPr>
      <w:rFonts w:cstheme="minorBidi"/>
      <w:lang w:val="en-GB"/>
    </w:rPr>
  </w:style>
  <w:style w:type="paragraph" w:customStyle="1" w:styleId="FSTitle">
    <w:name w:val="FS Title"/>
    <w:basedOn w:val="Normal"/>
    <w:qFormat/>
    <w:rsid w:val="009D0DEC"/>
    <w:pPr>
      <w:widowControl w:val="0"/>
    </w:pPr>
    <w:rPr>
      <w:rFonts w:eastAsia="Times New Roman" w:cs="Tahoma"/>
      <w:bCs/>
      <w:sz w:val="32"/>
      <w:szCs w:val="24"/>
      <w:lang w:bidi="en-US"/>
    </w:rPr>
  </w:style>
  <w:style w:type="paragraph" w:customStyle="1" w:styleId="Default">
    <w:name w:val="Default"/>
    <w:rsid w:val="00BA2BAF"/>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204834">
      <w:bodyDiv w:val="1"/>
      <w:marLeft w:val="0"/>
      <w:marRight w:val="0"/>
      <w:marTop w:val="0"/>
      <w:marBottom w:val="0"/>
      <w:divBdr>
        <w:top w:val="none" w:sz="0" w:space="0" w:color="auto"/>
        <w:left w:val="none" w:sz="0" w:space="0" w:color="auto"/>
        <w:bottom w:val="none" w:sz="0" w:space="0" w:color="auto"/>
        <w:right w:val="none" w:sz="0" w:space="0" w:color="auto"/>
      </w:divBdr>
    </w:div>
    <w:div w:id="1836141478">
      <w:bodyDiv w:val="1"/>
      <w:marLeft w:val="0"/>
      <w:marRight w:val="0"/>
      <w:marTop w:val="0"/>
      <w:marBottom w:val="0"/>
      <w:divBdr>
        <w:top w:val="none" w:sz="0" w:space="0" w:color="auto"/>
        <w:left w:val="none" w:sz="0" w:space="0" w:color="auto"/>
        <w:bottom w:val="none" w:sz="0" w:space="0" w:color="auto"/>
        <w:right w:val="none" w:sz="0" w:space="0" w:color="auto"/>
      </w:divBdr>
    </w:div>
    <w:div w:id="1866674228">
      <w:bodyDiv w:val="1"/>
      <w:marLeft w:val="0"/>
      <w:marRight w:val="0"/>
      <w:marTop w:val="0"/>
      <w:marBottom w:val="0"/>
      <w:divBdr>
        <w:top w:val="none" w:sz="0" w:space="0" w:color="auto"/>
        <w:left w:val="none" w:sz="0" w:space="0" w:color="auto"/>
        <w:bottom w:val="none" w:sz="0" w:space="0" w:color="auto"/>
        <w:right w:val="none" w:sz="0" w:space="0" w:color="auto"/>
      </w:divBdr>
      <w:divsChild>
        <w:div w:id="106970232">
          <w:marLeft w:val="1166"/>
          <w:marRight w:val="0"/>
          <w:marTop w:val="53"/>
          <w:marBottom w:val="0"/>
          <w:divBdr>
            <w:top w:val="none" w:sz="0" w:space="0" w:color="auto"/>
            <w:left w:val="none" w:sz="0" w:space="0" w:color="auto"/>
            <w:bottom w:val="none" w:sz="0" w:space="0" w:color="auto"/>
            <w:right w:val="none" w:sz="0" w:space="0" w:color="auto"/>
          </w:divBdr>
        </w:div>
        <w:div w:id="458454839">
          <w:marLeft w:val="547"/>
          <w:marRight w:val="0"/>
          <w:marTop w:val="62"/>
          <w:marBottom w:val="0"/>
          <w:divBdr>
            <w:top w:val="none" w:sz="0" w:space="0" w:color="auto"/>
            <w:left w:val="none" w:sz="0" w:space="0" w:color="auto"/>
            <w:bottom w:val="none" w:sz="0" w:space="0" w:color="auto"/>
            <w:right w:val="none" w:sz="0" w:space="0" w:color="auto"/>
          </w:divBdr>
        </w:div>
        <w:div w:id="604576379">
          <w:marLeft w:val="1166"/>
          <w:marRight w:val="0"/>
          <w:marTop w:val="53"/>
          <w:marBottom w:val="0"/>
          <w:divBdr>
            <w:top w:val="none" w:sz="0" w:space="0" w:color="auto"/>
            <w:left w:val="none" w:sz="0" w:space="0" w:color="auto"/>
            <w:bottom w:val="none" w:sz="0" w:space="0" w:color="auto"/>
            <w:right w:val="none" w:sz="0" w:space="0" w:color="auto"/>
          </w:divBdr>
        </w:div>
        <w:div w:id="696660399">
          <w:marLeft w:val="547"/>
          <w:marRight w:val="0"/>
          <w:marTop w:val="62"/>
          <w:marBottom w:val="0"/>
          <w:divBdr>
            <w:top w:val="none" w:sz="0" w:space="0" w:color="auto"/>
            <w:left w:val="none" w:sz="0" w:space="0" w:color="auto"/>
            <w:bottom w:val="none" w:sz="0" w:space="0" w:color="auto"/>
            <w:right w:val="none" w:sz="0" w:space="0" w:color="auto"/>
          </w:divBdr>
        </w:div>
        <w:div w:id="791482141">
          <w:marLeft w:val="547"/>
          <w:marRight w:val="0"/>
          <w:marTop w:val="62"/>
          <w:marBottom w:val="0"/>
          <w:divBdr>
            <w:top w:val="none" w:sz="0" w:space="0" w:color="auto"/>
            <w:left w:val="none" w:sz="0" w:space="0" w:color="auto"/>
            <w:bottom w:val="none" w:sz="0" w:space="0" w:color="auto"/>
            <w:right w:val="none" w:sz="0" w:space="0" w:color="auto"/>
          </w:divBdr>
        </w:div>
        <w:div w:id="1501383862">
          <w:marLeft w:val="1166"/>
          <w:marRight w:val="0"/>
          <w:marTop w:val="53"/>
          <w:marBottom w:val="0"/>
          <w:divBdr>
            <w:top w:val="none" w:sz="0" w:space="0" w:color="auto"/>
            <w:left w:val="none" w:sz="0" w:space="0" w:color="auto"/>
            <w:bottom w:val="none" w:sz="0" w:space="0" w:color="auto"/>
            <w:right w:val="none" w:sz="0" w:space="0" w:color="auto"/>
          </w:divBdr>
        </w:div>
        <w:div w:id="1867057750">
          <w:marLeft w:val="547"/>
          <w:marRight w:val="0"/>
          <w:marTop w:val="62"/>
          <w:marBottom w:val="0"/>
          <w:divBdr>
            <w:top w:val="none" w:sz="0" w:space="0" w:color="auto"/>
            <w:left w:val="none" w:sz="0" w:space="0" w:color="auto"/>
            <w:bottom w:val="none" w:sz="0" w:space="0" w:color="auto"/>
            <w:right w:val="none" w:sz="0" w:space="0" w:color="auto"/>
          </w:divBdr>
        </w:div>
      </w:divsChild>
    </w:div>
    <w:div w:id="19174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dexalimentarius.org/standards/list-of-standards/" TargetMode="External"/><Relationship Id="rId18" Type="http://schemas.openxmlformats.org/officeDocument/2006/relationships/hyperlink" Target="http://www.hc-sc.gc.c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hilledfood.org" TargetMode="External"/><Relationship Id="rId17" Type="http://schemas.openxmlformats.org/officeDocument/2006/relationships/hyperlink" Target="http://www.hc-sc.gc.ca"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ec.europa.eu/food/" TargetMode="External"/><Relationship Id="rId20" Type="http://schemas.openxmlformats.org/officeDocument/2006/relationships/hyperlink" Target="http://pmp.arserrc.gov/PMPOnline.aspx"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mbase.cc/index.php/e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foodauthority.nsw.gov.au" TargetMode="Externa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dexalimentarius.org/standards/list-of-standards/"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foodsafety.govt.nz/policy-law/food-regulation/nz-food-legis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467C9-1A49-4BD4-845A-0EE03FE578A7}"/>
</file>

<file path=customXml/itemProps2.xml><?xml version="1.0" encoding="utf-8"?>
<ds:datastoreItem xmlns:ds="http://schemas.openxmlformats.org/officeDocument/2006/customXml" ds:itemID="{2CAD8128-2723-4DB1-968D-247B9AD21D1D}"/>
</file>

<file path=customXml/itemProps3.xml><?xml version="1.0" encoding="utf-8"?>
<ds:datastoreItem xmlns:ds="http://schemas.openxmlformats.org/officeDocument/2006/customXml" ds:itemID="{777A100F-349C-4CF9-B06A-712E88B6AFF9}"/>
</file>

<file path=customXml/itemProps4.xml><?xml version="1.0" encoding="utf-8"?>
<ds:datastoreItem xmlns:ds="http://schemas.openxmlformats.org/officeDocument/2006/customXml" ds:itemID="{10DCD12C-42C1-4993-BDD3-8840105BBA49}"/>
</file>

<file path=docProps/app.xml><?xml version="1.0" encoding="utf-8"?>
<Properties xmlns="http://schemas.openxmlformats.org/officeDocument/2006/extended-properties" xmlns:vt="http://schemas.openxmlformats.org/officeDocument/2006/docPropsVTypes">
  <Template>Normal</Template>
  <TotalTime>0</TotalTime>
  <Pages>13</Pages>
  <Words>4068</Words>
  <Characters>23190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P1017-MicroAppR-SD1</dc:title>
  <dc:creator/>
  <cp:lastModifiedBy/>
  <cp:revision>1</cp:revision>
  <dcterms:created xsi:type="dcterms:W3CDTF">2014-05-20T04:34:00Z</dcterms:created>
  <dcterms:modified xsi:type="dcterms:W3CDTF">2014-05-20T04:34:00Z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